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ind w:right="-57"/>
        <w:rPr>
          <w:rFonts w:cs="Arial"/>
          <w:bCs/>
          <w:sz w:val="22"/>
          <w:szCs w:val="28"/>
          <w:lang w:val="en-US" w:eastAsia="zh-CN"/>
        </w:rPr>
      </w:pPr>
      <w:bookmarkStart w:id="0" w:name="historyclause"/>
      <w:bookmarkStart w:id="1" w:name="_Toc383764588"/>
      <w:r>
        <w:rPr>
          <w:rFonts w:hint="eastAsia" w:cs="Arial"/>
          <w:bCs/>
          <w:sz w:val="22"/>
          <w:szCs w:val="28"/>
          <w:lang w:eastAsia="zh-CN"/>
        </w:rPr>
        <w:t xml:space="preserve">3GPP TSG RAN WG1 </w:t>
      </w:r>
      <w:r>
        <w:rPr>
          <w:rFonts w:hint="eastAsia" w:cs="Arial"/>
          <w:bCs/>
          <w:sz w:val="22"/>
          <w:szCs w:val="28"/>
          <w:lang w:val="en-US" w:eastAsia="zh-CN"/>
        </w:rPr>
        <w:t xml:space="preserve">#99 </w:t>
      </w:r>
      <w:r>
        <w:rPr>
          <w:rFonts w:hint="eastAsia" w:cs="Arial"/>
          <w:bCs/>
          <w:sz w:val="22"/>
          <w:szCs w:val="28"/>
          <w:lang w:eastAsia="zh-CN"/>
        </w:rPr>
        <w:t xml:space="preserve">                                        </w:t>
      </w:r>
      <w:r>
        <w:rPr>
          <w:rFonts w:hint="eastAsia" w:cs="Arial"/>
          <w:bCs/>
          <w:sz w:val="22"/>
          <w:szCs w:val="28"/>
          <w:lang w:val="en-US" w:eastAsia="zh-CN"/>
        </w:rPr>
        <w:t xml:space="preserve">           </w:t>
      </w:r>
      <w:r>
        <w:rPr>
          <w:rFonts w:hint="eastAsia" w:cs="Arial"/>
          <w:bCs/>
          <w:sz w:val="22"/>
          <w:szCs w:val="28"/>
          <w:lang w:eastAsia="zh-CN"/>
        </w:rPr>
        <w:t xml:space="preserve">    </w:t>
      </w:r>
      <w:r>
        <w:rPr>
          <w:rFonts w:hint="eastAsia" w:cs="Arial"/>
          <w:bCs/>
          <w:sz w:val="22"/>
          <w:szCs w:val="28"/>
          <w:lang w:val="en-US" w:eastAsia="zh-CN"/>
        </w:rPr>
        <w:t xml:space="preserve">                                  </w:t>
      </w:r>
      <w:r>
        <w:rPr>
          <w:rFonts w:hint="eastAsia" w:cs="Arial"/>
          <w:bCs/>
          <w:sz w:val="22"/>
          <w:szCs w:val="28"/>
          <w:lang w:eastAsia="zh-CN"/>
        </w:rPr>
        <w:t xml:space="preserve">    R1-191</w:t>
      </w:r>
      <w:r>
        <w:rPr>
          <w:rFonts w:hint="eastAsia" w:cs="Arial"/>
          <w:bCs/>
          <w:sz w:val="22"/>
          <w:szCs w:val="28"/>
          <w:lang w:val="en-US" w:eastAsia="zh-CN"/>
        </w:rPr>
        <w:t>1967</w:t>
      </w:r>
    </w:p>
    <w:p>
      <w:pPr>
        <w:pStyle w:val="38"/>
        <w:tabs>
          <w:tab w:val="right" w:pos="8280"/>
          <w:tab w:val="right" w:pos="9781"/>
        </w:tabs>
        <w:snapToGrid w:val="0"/>
        <w:spacing w:afterLines="50"/>
        <w:rPr>
          <w:rFonts w:eastAsia="PMingLiU" w:cs="Arial"/>
          <w:bCs/>
          <w:sz w:val="22"/>
          <w:szCs w:val="28"/>
          <w:lang w:val="en-US" w:eastAsia="zh-CN"/>
        </w:rPr>
      </w:pPr>
      <w:r>
        <w:rPr>
          <w:rFonts w:hint="eastAsia" w:cs="Arial"/>
          <w:bCs/>
          <w:sz w:val="22"/>
          <w:szCs w:val="28"/>
          <w:lang w:eastAsia="ja-JP"/>
        </w:rPr>
        <w:t>Reno, USA, November 18</w:t>
      </w:r>
      <w:r>
        <w:rPr>
          <w:rFonts w:hint="eastAsia" w:cs="Arial"/>
          <w:bCs/>
          <w:sz w:val="22"/>
          <w:szCs w:val="28"/>
          <w:vertAlign w:val="superscript"/>
          <w:lang w:eastAsia="ja-JP"/>
        </w:rPr>
        <w:t>th</w:t>
      </w:r>
      <w:r>
        <w:rPr>
          <w:rFonts w:hint="eastAsia" w:cs="Arial"/>
          <w:bCs/>
          <w:sz w:val="22"/>
          <w:szCs w:val="28"/>
          <w:lang w:eastAsia="ja-JP"/>
        </w:rPr>
        <w:t xml:space="preserve"> – 22</w:t>
      </w:r>
      <w:r>
        <w:rPr>
          <w:rFonts w:hint="eastAsia" w:cs="Arial"/>
          <w:bCs/>
          <w:sz w:val="22"/>
          <w:szCs w:val="28"/>
          <w:vertAlign w:val="superscript"/>
          <w:lang w:eastAsia="ja-JP"/>
        </w:rPr>
        <w:t>nd</w:t>
      </w:r>
      <w:r>
        <w:rPr>
          <w:rFonts w:hint="eastAsia" w:cs="Arial"/>
          <w:bCs/>
          <w:sz w:val="22"/>
          <w:szCs w:val="28"/>
          <w:lang w:eastAsia="ja-JP"/>
        </w:rPr>
        <w:t>, 2019</w:t>
      </w:r>
    </w:p>
    <w:p>
      <w:pPr>
        <w:pStyle w:val="38"/>
        <w:snapToGrid w:val="0"/>
        <w:spacing w:line="240" w:lineRule="exact"/>
        <w:rPr>
          <w:sz w:val="20"/>
          <w:lang w:eastAsia="zh-CN"/>
        </w:rPr>
      </w:pPr>
      <w:r>
        <w:rPr>
          <w:sz w:val="20"/>
        </w:rPr>
        <w:t>Source:</w:t>
      </w:r>
      <w:r>
        <w:rPr>
          <w:rFonts w:hint="eastAsia"/>
          <w:sz w:val="20"/>
          <w:lang w:val="en-US" w:eastAsia="zh-CN"/>
        </w:rPr>
        <w:tab/>
      </w:r>
      <w:r>
        <w:rPr>
          <w:rFonts w:hint="eastAsia"/>
          <w:sz w:val="20"/>
          <w:lang w:val="en-US" w:eastAsia="zh-CN"/>
        </w:rPr>
        <w:tab/>
      </w:r>
      <w:r>
        <w:rPr>
          <w:rFonts w:hint="eastAsia"/>
          <w:sz w:val="20"/>
          <w:lang w:val="en-US" w:eastAsia="zh-CN"/>
        </w:rPr>
        <w:tab/>
      </w:r>
      <w:r>
        <w:rPr>
          <w:rFonts w:hint="eastAsia"/>
          <w:sz w:val="20"/>
          <w:lang w:val="en-US" w:eastAsia="zh-CN"/>
        </w:rPr>
        <w:t xml:space="preserve"> </w:t>
      </w:r>
      <w:r>
        <w:rPr>
          <w:sz w:val="20"/>
        </w:rPr>
        <w:t>ZTE</w:t>
      </w:r>
      <w:r>
        <w:rPr>
          <w:rFonts w:hint="eastAsia"/>
          <w:sz w:val="20"/>
          <w:lang w:eastAsia="zh-CN"/>
        </w:rPr>
        <w:t xml:space="preserve"> </w:t>
      </w:r>
    </w:p>
    <w:p>
      <w:pPr>
        <w:pStyle w:val="38"/>
        <w:snapToGrid w:val="0"/>
        <w:spacing w:line="240" w:lineRule="exact"/>
        <w:ind w:left="1400" w:hanging="1401" w:hangingChars="700"/>
        <w:rPr>
          <w:sz w:val="20"/>
          <w:lang w:eastAsia="zh-CN"/>
        </w:rPr>
      </w:pPr>
      <w:r>
        <w:rPr>
          <w:sz w:val="20"/>
        </w:rPr>
        <w:t>Title:</w:t>
      </w:r>
      <w:r>
        <w:rPr>
          <w:rFonts w:hint="eastAsia"/>
          <w:sz w:val="20"/>
          <w:lang w:val="en-US" w:eastAsia="zh-CN"/>
        </w:rPr>
        <w:tab/>
      </w:r>
      <w:r>
        <w:rPr>
          <w:rFonts w:hint="eastAsia"/>
          <w:sz w:val="20"/>
          <w:lang w:val="en-US" w:eastAsia="zh-CN"/>
        </w:rPr>
        <w:t xml:space="preserve"> </w:t>
      </w:r>
      <w:r>
        <w:rPr>
          <w:rFonts w:hint="eastAsia"/>
          <w:sz w:val="20"/>
          <w:szCs w:val="22"/>
          <w:lang w:eastAsia="zh-CN"/>
        </w:rPr>
        <w:t>UL inter-UE multiplexing between eMBB and URLLC</w:t>
      </w:r>
    </w:p>
    <w:p>
      <w:pPr>
        <w:pStyle w:val="38"/>
        <w:snapToGrid w:val="0"/>
        <w:spacing w:line="240" w:lineRule="exact"/>
        <w:rPr>
          <w:sz w:val="20"/>
          <w:lang w:eastAsia="zh-CN"/>
        </w:rPr>
      </w:pPr>
      <w:r>
        <w:rPr>
          <w:sz w:val="20"/>
        </w:rPr>
        <w:t>Agenda item:</w:t>
      </w:r>
      <w:r>
        <w:rPr>
          <w:rFonts w:hint="eastAsia"/>
          <w:sz w:val="20"/>
          <w:lang w:eastAsia="zh-CN"/>
        </w:rPr>
        <w:tab/>
      </w:r>
      <w:r>
        <w:rPr>
          <w:rFonts w:hint="eastAsia"/>
          <w:sz w:val="20"/>
          <w:lang w:val="en-US" w:eastAsia="zh-CN"/>
        </w:rPr>
        <w:t xml:space="preserve"> </w:t>
      </w:r>
      <w:r>
        <w:rPr>
          <w:rFonts w:hint="eastAsia"/>
          <w:sz w:val="20"/>
          <w:lang w:eastAsia="zh-CN"/>
        </w:rPr>
        <w:t>7.2.6.</w:t>
      </w:r>
      <w:r>
        <w:rPr>
          <w:rFonts w:hint="eastAsia"/>
          <w:sz w:val="20"/>
          <w:lang w:val="en-US" w:eastAsia="zh-CN"/>
        </w:rPr>
        <w:t>5</w:t>
      </w:r>
    </w:p>
    <w:p>
      <w:pPr>
        <w:pStyle w:val="38"/>
        <w:snapToGrid w:val="0"/>
        <w:spacing w:line="240" w:lineRule="exact"/>
        <w:rPr>
          <w:sz w:val="20"/>
        </w:rPr>
      </w:pPr>
      <w:r>
        <w:rPr>
          <w:sz w:val="20"/>
        </w:rPr>
        <w:t xml:space="preserve">Document for: </w:t>
      </w:r>
      <w:r>
        <w:rPr>
          <w:rFonts w:hint="eastAsia"/>
          <w:sz w:val="20"/>
          <w:lang w:val="en-US" w:eastAsia="zh-CN"/>
        </w:rPr>
        <w:t xml:space="preserve"> </w:t>
      </w:r>
      <w:r>
        <w:rPr>
          <w:sz w:val="20"/>
        </w:rPr>
        <w:t>Discussion and Decision</w:t>
      </w:r>
    </w:p>
    <w:p>
      <w:pPr>
        <w:pStyle w:val="2"/>
        <w:rPr>
          <w:lang w:eastAsia="zh-TW"/>
        </w:rPr>
      </w:pPr>
      <w:r>
        <w:rPr>
          <w:rFonts w:hint="eastAsia"/>
          <w:lang w:eastAsia="zh-CN"/>
        </w:rPr>
        <w:t>Introduction</w:t>
      </w:r>
    </w:p>
    <w:p>
      <w:pPr>
        <w:snapToGrid w:val="0"/>
        <w:spacing w:afterLines="50"/>
        <w:rPr>
          <w:sz w:val="20"/>
          <w:szCs w:val="22"/>
          <w:lang w:val="en-US" w:eastAsia="zh-CN"/>
        </w:rPr>
      </w:pPr>
      <w:r>
        <w:rPr>
          <w:sz w:val="20"/>
          <w:szCs w:val="22"/>
          <w:lang w:val="en-US" w:eastAsia="zh-CN"/>
        </w:rPr>
        <w:t xml:space="preserve">During the </w:t>
      </w:r>
      <w:r>
        <w:rPr>
          <w:rFonts w:hint="eastAsia"/>
          <w:sz w:val="20"/>
          <w:szCs w:val="22"/>
          <w:lang w:val="en-US" w:eastAsia="zh-CN"/>
        </w:rPr>
        <w:t>RAN1#98bis</w:t>
      </w:r>
      <w:r>
        <w:rPr>
          <w:sz w:val="20"/>
          <w:szCs w:val="22"/>
          <w:lang w:val="en-US" w:eastAsia="zh-CN"/>
        </w:rPr>
        <w:t xml:space="preserve"> meeting, the following agreements were reached[</w:t>
      </w:r>
      <w:r>
        <w:rPr>
          <w:rFonts w:hint="eastAsia"/>
          <w:sz w:val="20"/>
          <w:szCs w:val="22"/>
          <w:lang w:val="en-US" w:eastAsia="zh-CN"/>
        </w:rPr>
        <w:t>1</w:t>
      </w:r>
      <w:r>
        <w:rPr>
          <w:sz w:val="20"/>
          <w:szCs w:val="22"/>
          <w:lang w:val="en-US" w:eastAsia="zh-CN"/>
        </w:rPr>
        <w:t xml:space="preserve">]. </w:t>
      </w:r>
    </w:p>
    <w:tbl>
      <w:tblPr>
        <w:tblStyle w:val="52"/>
        <w:tblW w:w="9700" w:type="dxa"/>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700" w:type="dxa"/>
          </w:tcPr>
          <w:p>
            <w:pPr>
              <w:spacing w:after="60"/>
              <w:rPr>
                <w:sz w:val="20"/>
                <w:szCs w:val="15"/>
              </w:rPr>
            </w:pPr>
            <w:r>
              <w:rPr>
                <w:sz w:val="20"/>
                <w:szCs w:val="15"/>
                <w:highlight w:val="green"/>
              </w:rPr>
              <w:t>Agreements</w:t>
            </w:r>
            <w:r>
              <w:rPr>
                <w:sz w:val="20"/>
                <w:szCs w:val="15"/>
              </w:rPr>
              <w:t>:</w:t>
            </w:r>
          </w:p>
          <w:p>
            <w:pPr>
              <w:pStyle w:val="71"/>
              <w:numPr>
                <w:ilvl w:val="0"/>
                <w:numId w:val="7"/>
              </w:numPr>
              <w:overflowPunct w:val="0"/>
              <w:autoSpaceDE w:val="0"/>
              <w:autoSpaceDN w:val="0"/>
              <w:adjustRightInd w:val="0"/>
              <w:snapToGrid w:val="0"/>
              <w:contextualSpacing/>
              <w:textAlignment w:val="baseline"/>
              <w:rPr>
                <w:rFonts w:eastAsia="宋体"/>
                <w:bCs/>
                <w:iCs/>
                <w:lang w:eastAsia="zh-CN"/>
              </w:rPr>
            </w:pPr>
            <w:r>
              <w:rPr>
                <w:rFonts w:hint="eastAsia" w:eastAsia="宋体"/>
                <w:bCs/>
                <w:iCs/>
                <w:lang w:eastAsia="zh-CN"/>
              </w:rPr>
              <w:t>Regarding UL CI monitoring, support the following:</w:t>
            </w:r>
          </w:p>
          <w:p>
            <w:pPr>
              <w:pStyle w:val="71"/>
              <w:numPr>
                <w:ilvl w:val="1"/>
                <w:numId w:val="8"/>
              </w:numPr>
              <w:overflowPunct w:val="0"/>
              <w:autoSpaceDE w:val="0"/>
              <w:autoSpaceDN w:val="0"/>
              <w:adjustRightInd w:val="0"/>
              <w:snapToGrid w:val="0"/>
              <w:contextualSpacing/>
              <w:textAlignment w:val="baseline"/>
              <w:rPr>
                <w:rFonts w:eastAsia="宋体" w:cs="Times"/>
                <w:bCs/>
                <w:iCs/>
                <w:lang w:eastAsia="zh-CN"/>
              </w:rPr>
            </w:pPr>
            <w:r>
              <w:rPr>
                <w:rFonts w:hint="eastAsia" w:eastAsia="宋体" w:cs="Times"/>
                <w:bCs/>
                <w:iCs/>
                <w:lang w:eastAsia="zh-CN"/>
              </w:rPr>
              <w:t>A new RNTI (e.g. CI-RNTI) is used for UL CI</w:t>
            </w:r>
          </w:p>
          <w:p>
            <w:pPr>
              <w:pStyle w:val="71"/>
              <w:numPr>
                <w:ilvl w:val="1"/>
                <w:numId w:val="8"/>
              </w:numPr>
              <w:overflowPunct w:val="0"/>
              <w:autoSpaceDE w:val="0"/>
              <w:autoSpaceDN w:val="0"/>
              <w:adjustRightInd w:val="0"/>
              <w:snapToGrid w:val="0"/>
              <w:contextualSpacing/>
              <w:textAlignment w:val="baseline"/>
              <w:rPr>
                <w:rFonts w:eastAsia="宋体" w:cs="Times"/>
                <w:bCs/>
                <w:iCs/>
                <w:lang w:eastAsia="zh-CN"/>
              </w:rPr>
            </w:pPr>
            <w:r>
              <w:rPr>
                <w:rFonts w:hint="eastAsia" w:eastAsia="宋体" w:cs="Times"/>
                <w:bCs/>
                <w:iCs/>
                <w:lang w:eastAsia="zh-CN"/>
              </w:rPr>
              <w:t>FFS: Monitoring periodicity larger than [5] slot is not supported for UL CI</w:t>
            </w:r>
          </w:p>
          <w:p>
            <w:pPr>
              <w:pStyle w:val="71"/>
              <w:numPr>
                <w:ilvl w:val="1"/>
                <w:numId w:val="8"/>
              </w:numPr>
              <w:overflowPunct w:val="0"/>
              <w:autoSpaceDE w:val="0"/>
              <w:autoSpaceDN w:val="0"/>
              <w:adjustRightInd w:val="0"/>
              <w:snapToGrid w:val="0"/>
              <w:contextualSpacing/>
              <w:textAlignment w:val="baseline"/>
              <w:rPr>
                <w:rFonts w:eastAsia="宋体" w:cs="Times"/>
                <w:bCs/>
                <w:iCs/>
                <w:color w:val="auto"/>
                <w:lang w:eastAsia="zh-CN"/>
              </w:rPr>
            </w:pPr>
            <w:r>
              <w:rPr>
                <w:rFonts w:hint="eastAsia" w:eastAsia="宋体" w:cs="Times"/>
                <w:bCs/>
                <w:iCs/>
                <w:lang w:eastAsia="zh-CN"/>
              </w:rPr>
              <w:t>The aggregat</w:t>
            </w:r>
            <w:r>
              <w:rPr>
                <w:rFonts w:hint="eastAsia" w:eastAsia="宋体" w:cs="Times"/>
                <w:bCs/>
                <w:iCs/>
                <w:color w:val="auto"/>
                <w:lang w:eastAsia="zh-CN"/>
              </w:rPr>
              <w:t xml:space="preserve">ion level(s) and the number of PDCCH candidates configured by RRC </w:t>
            </w:r>
          </w:p>
          <w:p>
            <w:pPr>
              <w:pStyle w:val="71"/>
              <w:numPr>
                <w:ilvl w:val="4"/>
                <w:numId w:val="9"/>
              </w:numPr>
              <w:overflowPunct w:val="0"/>
              <w:autoSpaceDE w:val="0"/>
              <w:autoSpaceDN w:val="0"/>
              <w:adjustRightInd w:val="0"/>
              <w:snapToGrid w:val="0"/>
              <w:contextualSpacing/>
              <w:textAlignment w:val="baseline"/>
              <w:rPr>
                <w:rFonts w:eastAsia="宋体"/>
                <w:color w:val="auto"/>
                <w:lang w:eastAsia="zh-CN"/>
              </w:rPr>
            </w:pPr>
            <w:r>
              <w:rPr>
                <w:rFonts w:hint="eastAsia" w:eastAsia="宋体"/>
                <w:color w:val="auto"/>
                <w:lang w:eastAsia="zh-CN"/>
              </w:rPr>
              <w:t>FFS possible restrictions, e.g., the ones associated with SFI</w:t>
            </w:r>
          </w:p>
          <w:p>
            <w:pPr>
              <w:pStyle w:val="71"/>
              <w:numPr>
                <w:ilvl w:val="1"/>
                <w:numId w:val="8"/>
              </w:numPr>
              <w:overflowPunct w:val="0"/>
              <w:autoSpaceDE w:val="0"/>
              <w:autoSpaceDN w:val="0"/>
              <w:adjustRightInd w:val="0"/>
              <w:snapToGrid w:val="0"/>
              <w:contextualSpacing/>
              <w:textAlignment w:val="baseline"/>
              <w:rPr>
                <w:rFonts w:eastAsia="宋体" w:cs="Times"/>
                <w:bCs/>
                <w:iCs/>
                <w:color w:val="auto"/>
                <w:lang w:eastAsia="zh-CN"/>
              </w:rPr>
            </w:pPr>
            <w:r>
              <w:rPr>
                <w:rFonts w:hint="eastAsia" w:eastAsia="宋体" w:cs="Times"/>
                <w:bCs/>
                <w:iCs/>
                <w:color w:val="auto"/>
                <w:lang w:eastAsia="zh-CN"/>
              </w:rPr>
              <w:t>The DCI payload size for UL CI  is configured by RRC</w:t>
            </w:r>
          </w:p>
          <w:p>
            <w:pPr>
              <w:pStyle w:val="71"/>
              <w:numPr>
                <w:ilvl w:val="4"/>
                <w:numId w:val="9"/>
              </w:numPr>
              <w:overflowPunct w:val="0"/>
              <w:autoSpaceDE w:val="0"/>
              <w:autoSpaceDN w:val="0"/>
              <w:adjustRightInd w:val="0"/>
              <w:snapToGrid w:val="0"/>
              <w:contextualSpacing/>
              <w:textAlignment w:val="baseline"/>
              <w:rPr>
                <w:rFonts w:eastAsia="宋体"/>
                <w:color w:val="auto"/>
                <w:lang w:eastAsia="zh-CN"/>
              </w:rPr>
            </w:pPr>
            <w:r>
              <w:rPr>
                <w:rFonts w:hint="eastAsia" w:eastAsia="宋体"/>
                <w:color w:val="auto"/>
                <w:lang w:eastAsia="zh-CN"/>
              </w:rPr>
              <w:t>FFS possible values</w:t>
            </w:r>
          </w:p>
          <w:p>
            <w:pPr>
              <w:spacing w:after="60"/>
              <w:rPr>
                <w:color w:val="auto"/>
                <w:sz w:val="20"/>
                <w:szCs w:val="15"/>
                <w:highlight w:val="green"/>
              </w:rPr>
            </w:pPr>
            <w:r>
              <w:rPr>
                <w:color w:val="auto"/>
                <w:sz w:val="20"/>
                <w:szCs w:val="15"/>
                <w:highlight w:val="green"/>
              </w:rPr>
              <w:t>Agreements:</w:t>
            </w:r>
          </w:p>
          <w:p>
            <w:pPr>
              <w:pStyle w:val="71"/>
              <w:numPr>
                <w:ilvl w:val="0"/>
                <w:numId w:val="7"/>
              </w:numPr>
              <w:overflowPunct w:val="0"/>
              <w:autoSpaceDE w:val="0"/>
              <w:autoSpaceDN w:val="0"/>
              <w:adjustRightInd w:val="0"/>
              <w:snapToGrid w:val="0"/>
              <w:ind w:left="726" w:hanging="363"/>
              <w:contextualSpacing/>
              <w:textAlignment w:val="baseline"/>
              <w:rPr>
                <w:rFonts w:eastAsia="宋体"/>
                <w:bCs/>
                <w:iCs/>
                <w:color w:val="auto"/>
                <w:lang w:eastAsia="zh-CN"/>
              </w:rPr>
            </w:pPr>
            <w:r>
              <w:rPr>
                <w:rFonts w:hint="eastAsia" w:eastAsia="宋体"/>
                <w:bCs/>
                <w:iCs/>
                <w:color w:val="auto"/>
                <w:lang w:eastAsia="zh-CN"/>
              </w:rPr>
              <w:t>SRS can be cancelled by UL CI</w:t>
            </w:r>
          </w:p>
          <w:p>
            <w:pPr>
              <w:pStyle w:val="71"/>
              <w:numPr>
                <w:ilvl w:val="0"/>
                <w:numId w:val="7"/>
              </w:numPr>
              <w:overflowPunct w:val="0"/>
              <w:autoSpaceDE w:val="0"/>
              <w:autoSpaceDN w:val="0"/>
              <w:adjustRightInd w:val="0"/>
              <w:snapToGrid w:val="0"/>
              <w:ind w:left="726" w:hanging="363"/>
              <w:contextualSpacing/>
              <w:textAlignment w:val="baseline"/>
              <w:rPr>
                <w:rFonts w:eastAsia="宋体"/>
                <w:bCs/>
                <w:iCs/>
                <w:color w:val="auto"/>
                <w:lang w:eastAsia="zh-CN"/>
              </w:rPr>
            </w:pPr>
            <w:r>
              <w:rPr>
                <w:rFonts w:hint="eastAsia" w:eastAsia="宋体"/>
                <w:bCs/>
                <w:iCs/>
                <w:color w:val="auto"/>
                <w:lang w:eastAsia="zh-CN"/>
              </w:rPr>
              <w:t>PUCCH cannot be cancelled by UL CI</w:t>
            </w:r>
          </w:p>
          <w:p>
            <w:pPr>
              <w:pStyle w:val="71"/>
              <w:numPr>
                <w:ilvl w:val="0"/>
                <w:numId w:val="7"/>
              </w:numPr>
              <w:overflowPunct w:val="0"/>
              <w:autoSpaceDE w:val="0"/>
              <w:autoSpaceDN w:val="0"/>
              <w:adjustRightInd w:val="0"/>
              <w:snapToGrid w:val="0"/>
              <w:ind w:left="726" w:hanging="363"/>
              <w:contextualSpacing/>
              <w:textAlignment w:val="baseline"/>
              <w:rPr>
                <w:rFonts w:eastAsia="宋体"/>
                <w:bCs/>
                <w:iCs/>
                <w:color w:val="auto"/>
                <w:lang w:eastAsia="zh-CN"/>
              </w:rPr>
            </w:pPr>
            <w:r>
              <w:rPr>
                <w:rFonts w:hint="eastAsia" w:eastAsia="宋体"/>
                <w:bCs/>
                <w:iCs/>
                <w:color w:val="auto"/>
                <w:lang w:eastAsia="zh-CN"/>
              </w:rPr>
              <w:t>RACH related UL transmissions cannot be cancelled by UL CI, including MSG 1/3 in case of 4-step RACH, MSG A in case of 2-step RACH.</w:t>
            </w:r>
          </w:p>
          <w:p>
            <w:pPr>
              <w:spacing w:after="60"/>
              <w:rPr>
                <w:color w:val="auto"/>
                <w:sz w:val="20"/>
                <w:szCs w:val="15"/>
                <w:highlight w:val="green"/>
              </w:rPr>
            </w:pPr>
            <w:r>
              <w:rPr>
                <w:color w:val="auto"/>
                <w:sz w:val="20"/>
                <w:szCs w:val="15"/>
                <w:highlight w:val="green"/>
              </w:rPr>
              <w:t>Agreements:</w:t>
            </w:r>
          </w:p>
          <w:p>
            <w:pPr>
              <w:pStyle w:val="71"/>
              <w:numPr>
                <w:ilvl w:val="0"/>
                <w:numId w:val="7"/>
              </w:numPr>
              <w:overflowPunct w:val="0"/>
              <w:autoSpaceDE w:val="0"/>
              <w:autoSpaceDN w:val="0"/>
              <w:adjustRightInd w:val="0"/>
              <w:snapToGrid w:val="0"/>
              <w:contextualSpacing/>
              <w:textAlignment w:val="baseline"/>
              <w:rPr>
                <w:rFonts w:eastAsia="宋体"/>
                <w:bCs/>
                <w:iCs/>
                <w:color w:val="auto"/>
                <w:lang w:eastAsia="zh-CN"/>
              </w:rPr>
            </w:pPr>
            <w:r>
              <w:rPr>
                <w:rFonts w:hint="eastAsia" w:eastAsia="宋体"/>
                <w:bCs/>
                <w:iCs/>
                <w:color w:val="auto"/>
                <w:lang w:eastAsia="zh-CN"/>
              </w:rPr>
              <w:t>Cross-carrier UL cancelation indication is supported using the same way as Rel-15 SFI/DL PI</w:t>
            </w:r>
          </w:p>
          <w:p>
            <w:pPr>
              <w:pStyle w:val="71"/>
              <w:numPr>
                <w:ilvl w:val="1"/>
                <w:numId w:val="8"/>
              </w:numPr>
              <w:overflowPunct w:val="0"/>
              <w:autoSpaceDE w:val="0"/>
              <w:autoSpaceDN w:val="0"/>
              <w:adjustRightInd w:val="0"/>
              <w:snapToGrid w:val="0"/>
              <w:contextualSpacing/>
              <w:textAlignment w:val="baseline"/>
              <w:rPr>
                <w:rFonts w:eastAsia="宋体"/>
                <w:color w:val="auto"/>
                <w:lang w:eastAsia="zh-CN"/>
              </w:rPr>
            </w:pPr>
            <w:r>
              <w:rPr>
                <w:rFonts w:hint="eastAsia" w:eastAsia="宋体"/>
                <w:color w:val="auto"/>
                <w:lang w:eastAsia="zh-CN"/>
              </w:rPr>
              <w:t>The indication field position in DCI for each cross-carrier indicated serving cell is configured by RRC</w:t>
            </w:r>
          </w:p>
          <w:p>
            <w:pPr>
              <w:spacing w:after="60"/>
              <w:rPr>
                <w:color w:val="auto"/>
                <w:sz w:val="20"/>
                <w:szCs w:val="15"/>
                <w:highlight w:val="green"/>
                <w:lang w:eastAsia="zh-CN"/>
              </w:rPr>
            </w:pPr>
            <w:r>
              <w:rPr>
                <w:color w:val="auto"/>
                <w:sz w:val="20"/>
                <w:szCs w:val="15"/>
                <w:highlight w:val="green"/>
                <w:lang w:eastAsia="zh-CN"/>
              </w:rPr>
              <w:t>Agreements:</w:t>
            </w:r>
          </w:p>
          <w:p>
            <w:pPr>
              <w:pStyle w:val="71"/>
              <w:numPr>
                <w:ilvl w:val="0"/>
                <w:numId w:val="7"/>
              </w:numPr>
              <w:overflowPunct w:val="0"/>
              <w:autoSpaceDE w:val="0"/>
              <w:autoSpaceDN w:val="0"/>
              <w:adjustRightInd w:val="0"/>
              <w:snapToGrid w:val="0"/>
              <w:ind w:hanging="363"/>
              <w:contextualSpacing/>
              <w:textAlignment w:val="baseline"/>
              <w:rPr>
                <w:rFonts w:eastAsia="宋体"/>
                <w:bCs/>
                <w:iCs/>
                <w:color w:val="auto"/>
                <w:lang w:eastAsia="zh-CN"/>
              </w:rPr>
            </w:pPr>
            <w:r>
              <w:rPr>
                <w:rFonts w:hint="eastAsia" w:eastAsia="宋体"/>
                <w:bCs/>
                <w:iCs/>
                <w:color w:val="auto"/>
                <w:lang w:eastAsia="zh-CN"/>
              </w:rPr>
              <w:t>Different UE processing time capability for UL CI (i.e. shorter or longer than T_proc2 for cap#2 UE) is not considered in Rel-16</w:t>
            </w:r>
          </w:p>
          <w:p>
            <w:pPr>
              <w:pStyle w:val="71"/>
              <w:numPr>
                <w:ilvl w:val="1"/>
                <w:numId w:val="10"/>
              </w:numPr>
              <w:overflowPunct w:val="0"/>
              <w:autoSpaceDE w:val="0"/>
              <w:autoSpaceDN w:val="0"/>
              <w:adjustRightInd w:val="0"/>
              <w:snapToGrid w:val="0"/>
              <w:ind w:hanging="363"/>
              <w:contextualSpacing/>
              <w:textAlignment w:val="baseline"/>
              <w:rPr>
                <w:rFonts w:eastAsia="宋体"/>
                <w:color w:val="auto"/>
                <w:lang w:eastAsia="zh-CN"/>
              </w:rPr>
            </w:pPr>
            <w:r>
              <w:rPr>
                <w:rFonts w:hint="eastAsia" w:eastAsia="宋体"/>
                <w:color w:val="auto"/>
                <w:lang w:eastAsia="zh-CN"/>
              </w:rPr>
              <w:t>d</w:t>
            </w:r>
            <w:r>
              <w:rPr>
                <w:rFonts w:hint="eastAsia" w:eastAsia="宋体"/>
                <w:color w:val="auto"/>
                <w:vertAlign w:val="subscript"/>
                <w:lang w:eastAsia="zh-CN"/>
              </w:rPr>
              <w:t>2,1</w:t>
            </w:r>
            <w:r>
              <w:rPr>
                <w:rFonts w:hint="eastAsia" w:eastAsia="宋体"/>
                <w:color w:val="auto"/>
                <w:lang w:eastAsia="zh-CN"/>
              </w:rPr>
              <w:t>=0 also when DMRS and UL-SCH (for the PUSCH to be cancelled) are multiplexed in the 1</w:t>
            </w:r>
            <w:r>
              <w:rPr>
                <w:rFonts w:hint="eastAsia" w:eastAsia="宋体"/>
                <w:color w:val="auto"/>
                <w:vertAlign w:val="superscript"/>
                <w:lang w:eastAsia="zh-CN"/>
              </w:rPr>
              <w:t>st</w:t>
            </w:r>
            <w:r>
              <w:rPr>
                <w:rFonts w:hint="eastAsia" w:eastAsia="宋体"/>
                <w:color w:val="auto"/>
                <w:lang w:eastAsia="zh-CN"/>
              </w:rPr>
              <w:t xml:space="preserve"> symbol</w:t>
            </w:r>
          </w:p>
          <w:p>
            <w:pPr>
              <w:spacing w:after="60"/>
              <w:rPr>
                <w:color w:val="auto"/>
                <w:sz w:val="20"/>
                <w:szCs w:val="15"/>
                <w:highlight w:val="green"/>
                <w:lang w:eastAsia="zh-CN"/>
              </w:rPr>
            </w:pPr>
            <w:r>
              <w:rPr>
                <w:color w:val="auto"/>
                <w:sz w:val="20"/>
                <w:szCs w:val="15"/>
                <w:highlight w:val="green"/>
                <w:lang w:eastAsia="zh-CN"/>
              </w:rPr>
              <w:t>Agreements:</w:t>
            </w:r>
          </w:p>
          <w:p>
            <w:pPr>
              <w:pStyle w:val="71"/>
              <w:numPr>
                <w:ilvl w:val="0"/>
                <w:numId w:val="7"/>
              </w:numPr>
              <w:overflowPunct w:val="0"/>
              <w:autoSpaceDE w:val="0"/>
              <w:autoSpaceDN w:val="0"/>
              <w:adjustRightInd w:val="0"/>
              <w:snapToGrid w:val="0"/>
              <w:ind w:left="726" w:hanging="363"/>
              <w:contextualSpacing/>
              <w:textAlignment w:val="baseline"/>
              <w:rPr>
                <w:rFonts w:eastAsia="宋体"/>
                <w:bCs/>
                <w:iCs/>
                <w:color w:val="auto"/>
                <w:lang w:eastAsia="zh-CN"/>
              </w:rPr>
            </w:pPr>
            <w:r>
              <w:rPr>
                <w:rFonts w:hint="eastAsia" w:eastAsia="宋体"/>
                <w:bCs/>
                <w:iCs/>
                <w:color w:val="auto"/>
                <w:lang w:eastAsia="zh-CN"/>
              </w:rPr>
              <w:t>In case of PUSCH repetitions, UL CI is applied to each repetition individually (actual repetition in case of Rel-16 PUSCH repetition) that overlaps with the resource (in time and frequency) indicated by UL CI.</w:t>
            </w:r>
          </w:p>
          <w:p>
            <w:pPr>
              <w:spacing w:after="60"/>
              <w:rPr>
                <w:color w:val="auto"/>
                <w:sz w:val="20"/>
                <w:szCs w:val="15"/>
                <w:highlight w:val="green"/>
                <w:lang w:eastAsia="zh-CN"/>
              </w:rPr>
            </w:pPr>
            <w:bookmarkStart w:id="2" w:name="OLE_LINK4"/>
            <w:r>
              <w:rPr>
                <w:color w:val="auto"/>
                <w:sz w:val="20"/>
                <w:szCs w:val="15"/>
                <w:highlight w:val="green"/>
                <w:lang w:eastAsia="zh-CN"/>
              </w:rPr>
              <w:t>Agreements:</w:t>
            </w:r>
          </w:p>
          <w:p>
            <w:pPr>
              <w:pStyle w:val="71"/>
              <w:numPr>
                <w:ilvl w:val="0"/>
                <w:numId w:val="7"/>
              </w:numPr>
              <w:overflowPunct w:val="0"/>
              <w:autoSpaceDE w:val="0"/>
              <w:autoSpaceDN w:val="0"/>
              <w:adjustRightInd w:val="0"/>
              <w:snapToGrid w:val="0"/>
              <w:contextualSpacing/>
              <w:textAlignment w:val="baseline"/>
              <w:rPr>
                <w:rFonts w:eastAsia="宋体"/>
                <w:bCs/>
                <w:iCs/>
                <w:color w:val="auto"/>
                <w:lang w:eastAsia="zh-CN"/>
              </w:rPr>
            </w:pPr>
            <w:r>
              <w:rPr>
                <w:rFonts w:hint="eastAsia" w:eastAsia="宋体"/>
                <w:bCs/>
                <w:iCs/>
                <w:color w:val="auto"/>
                <w:lang w:eastAsia="zh-CN"/>
              </w:rPr>
              <w:t>The reference time region where a detected UL CI is applicable is determined by the following:</w:t>
            </w:r>
          </w:p>
          <w:p>
            <w:pPr>
              <w:pStyle w:val="71"/>
              <w:numPr>
                <w:ilvl w:val="3"/>
                <w:numId w:val="11"/>
              </w:numPr>
              <w:overflowPunct w:val="0"/>
              <w:autoSpaceDE w:val="0"/>
              <w:autoSpaceDN w:val="0"/>
              <w:adjustRightInd w:val="0"/>
              <w:snapToGrid w:val="0"/>
              <w:contextualSpacing/>
              <w:textAlignment w:val="baseline"/>
              <w:rPr>
                <w:rFonts w:eastAsia="宋体"/>
                <w:color w:val="auto"/>
                <w:lang w:eastAsia="zh-CN"/>
              </w:rPr>
            </w:pPr>
            <w:r>
              <w:rPr>
                <w:rFonts w:hint="eastAsia" w:eastAsia="宋体"/>
                <w:color w:val="auto"/>
                <w:lang w:eastAsia="zh-CN"/>
              </w:rPr>
              <w:t>The reference time region starts from X symbols after the ending symbol of the PDCCH CORESET carrying the UL CI, where X is at least equal to the minimum processing time for UL cancelation</w:t>
            </w:r>
          </w:p>
          <w:p>
            <w:pPr>
              <w:pStyle w:val="71"/>
              <w:numPr>
                <w:ilvl w:val="4"/>
                <w:numId w:val="9"/>
              </w:numPr>
              <w:overflowPunct w:val="0"/>
              <w:autoSpaceDE w:val="0"/>
              <w:autoSpaceDN w:val="0"/>
              <w:adjustRightInd w:val="0"/>
              <w:snapToGrid w:val="0"/>
              <w:contextualSpacing/>
              <w:textAlignment w:val="baseline"/>
              <w:rPr>
                <w:rFonts w:eastAsia="宋体"/>
                <w:color w:val="auto"/>
                <w:lang w:eastAsia="zh-CN"/>
              </w:rPr>
            </w:pPr>
            <w:r>
              <w:rPr>
                <w:rFonts w:hint="eastAsia" w:eastAsia="宋体"/>
                <w:color w:val="auto"/>
                <w:lang w:eastAsia="zh-CN"/>
              </w:rPr>
              <w:t>FFS X can be configured to be larger than the minimum processing time for UL cancelation</w:t>
            </w:r>
          </w:p>
          <w:p>
            <w:pPr>
              <w:pStyle w:val="71"/>
              <w:numPr>
                <w:ilvl w:val="3"/>
                <w:numId w:val="11"/>
              </w:numPr>
              <w:overflowPunct w:val="0"/>
              <w:autoSpaceDE w:val="0"/>
              <w:autoSpaceDN w:val="0"/>
              <w:adjustRightInd w:val="0"/>
              <w:snapToGrid w:val="0"/>
              <w:contextualSpacing/>
              <w:textAlignment w:val="baseline"/>
              <w:rPr>
                <w:rFonts w:eastAsia="宋体"/>
                <w:color w:val="auto"/>
                <w:lang w:eastAsia="zh-CN"/>
              </w:rPr>
            </w:pPr>
            <w:r>
              <w:rPr>
                <w:rFonts w:hint="eastAsia" w:eastAsia="宋体"/>
                <w:color w:val="auto"/>
                <w:lang w:eastAsia="zh-CN"/>
              </w:rPr>
              <w:t>The duration of the reference time region is configured by RRC</w:t>
            </w:r>
          </w:p>
          <w:p>
            <w:pPr>
              <w:pStyle w:val="71"/>
              <w:numPr>
                <w:ilvl w:val="4"/>
                <w:numId w:val="9"/>
              </w:numPr>
              <w:overflowPunct w:val="0"/>
              <w:autoSpaceDE w:val="0"/>
              <w:autoSpaceDN w:val="0"/>
              <w:adjustRightInd w:val="0"/>
              <w:snapToGrid w:val="0"/>
              <w:contextualSpacing/>
              <w:textAlignment w:val="baseline"/>
              <w:rPr>
                <w:rFonts w:eastAsia="宋体"/>
                <w:color w:val="auto"/>
                <w:lang w:eastAsia="zh-CN"/>
              </w:rPr>
            </w:pPr>
            <w:r>
              <w:rPr>
                <w:rFonts w:hint="eastAsia" w:eastAsia="宋体"/>
                <w:color w:val="auto"/>
                <w:lang w:eastAsia="zh-CN"/>
              </w:rPr>
              <w:t xml:space="preserve">FFS </w:t>
            </w:r>
            <w:r>
              <w:rPr>
                <w:rFonts w:eastAsia="宋体"/>
                <w:color w:val="auto"/>
                <w:lang w:eastAsia="zh-CN"/>
              </w:rPr>
              <w:t>P</w:t>
            </w:r>
            <w:r>
              <w:rPr>
                <w:rFonts w:hint="eastAsia" w:eastAsia="宋体"/>
                <w:color w:val="auto"/>
                <w:lang w:eastAsia="zh-CN"/>
              </w:rPr>
              <w:t>ossible values (e.g. 2OS, 4OS, 7OS, 14OS, 28OS?)</w:t>
            </w:r>
          </w:p>
          <w:p>
            <w:pPr>
              <w:pStyle w:val="71"/>
              <w:numPr>
                <w:ilvl w:val="3"/>
                <w:numId w:val="11"/>
              </w:numPr>
              <w:overflowPunct w:val="0"/>
              <w:autoSpaceDE w:val="0"/>
              <w:autoSpaceDN w:val="0"/>
              <w:adjustRightInd w:val="0"/>
              <w:snapToGrid w:val="0"/>
              <w:contextualSpacing/>
              <w:textAlignment w:val="baseline"/>
              <w:rPr>
                <w:rFonts w:eastAsia="宋体"/>
                <w:color w:val="auto"/>
                <w:lang w:eastAsia="zh-CN"/>
              </w:rPr>
            </w:pPr>
            <w:r>
              <w:rPr>
                <w:rFonts w:hint="eastAsia" w:eastAsia="宋体"/>
                <w:color w:val="auto"/>
                <w:lang w:eastAsia="zh-CN"/>
              </w:rPr>
              <w:t xml:space="preserve">FFS </w:t>
            </w:r>
            <w:bookmarkStart w:id="3" w:name="OLE_LINK8"/>
            <w:r>
              <w:rPr>
                <w:rFonts w:hint="eastAsia" w:eastAsia="宋体"/>
                <w:color w:val="auto"/>
                <w:lang w:eastAsia="zh-CN"/>
              </w:rPr>
              <w:t>DL symbols are excluded from the reference time region</w:t>
            </w:r>
            <w:bookmarkEnd w:id="3"/>
          </w:p>
          <w:bookmarkEnd w:id="2"/>
          <w:p>
            <w:pPr>
              <w:spacing w:after="60"/>
              <w:rPr>
                <w:sz w:val="20"/>
                <w:szCs w:val="15"/>
                <w:highlight w:val="green"/>
                <w:lang w:eastAsia="zh-CN"/>
              </w:rPr>
            </w:pPr>
            <w:bookmarkStart w:id="4" w:name="OLE_LINK3"/>
            <w:r>
              <w:rPr>
                <w:sz w:val="20"/>
                <w:szCs w:val="15"/>
                <w:highlight w:val="green"/>
                <w:lang w:eastAsia="zh-CN"/>
              </w:rPr>
              <w:t>Agreements:</w:t>
            </w:r>
          </w:p>
          <w:p>
            <w:pPr>
              <w:pStyle w:val="71"/>
              <w:numPr>
                <w:ilvl w:val="0"/>
                <w:numId w:val="7"/>
              </w:numPr>
              <w:overflowPunct w:val="0"/>
              <w:autoSpaceDE w:val="0"/>
              <w:autoSpaceDN w:val="0"/>
              <w:adjustRightInd w:val="0"/>
              <w:snapToGrid w:val="0"/>
              <w:ind w:left="726" w:hanging="363"/>
              <w:contextualSpacing/>
              <w:textAlignment w:val="baseline"/>
              <w:rPr>
                <w:rFonts w:eastAsia="宋体"/>
                <w:bCs/>
                <w:iCs/>
                <w:lang w:eastAsia="zh-CN"/>
              </w:rPr>
            </w:pPr>
            <w:r>
              <w:rPr>
                <w:rFonts w:hint="eastAsia" w:eastAsia="宋体"/>
                <w:bCs/>
                <w:iCs/>
                <w:lang w:eastAsia="zh-CN"/>
              </w:rPr>
              <w:t>The reference frequency region where a detected UL CI is applicable is configured by RRC</w:t>
            </w:r>
          </w:p>
          <w:bookmarkEnd w:id="4"/>
          <w:p>
            <w:pPr>
              <w:spacing w:after="60"/>
              <w:rPr>
                <w:sz w:val="20"/>
                <w:szCs w:val="15"/>
                <w:highlight w:val="green"/>
                <w:lang w:val="en-US" w:eastAsia="zh-CN"/>
              </w:rPr>
            </w:pPr>
            <w:r>
              <w:rPr>
                <w:sz w:val="20"/>
                <w:szCs w:val="15"/>
                <w:highlight w:val="green"/>
                <w:lang w:val="en-US" w:eastAsia="zh-CN"/>
              </w:rPr>
              <w:t>Agreements:</w:t>
            </w:r>
          </w:p>
          <w:p>
            <w:pPr>
              <w:overflowPunct w:val="0"/>
              <w:autoSpaceDE w:val="0"/>
              <w:autoSpaceDN w:val="0"/>
              <w:adjustRightInd w:val="0"/>
              <w:snapToGrid w:val="0"/>
              <w:contextualSpacing/>
              <w:textAlignment w:val="baseline"/>
              <w:rPr>
                <w:rFonts w:eastAsia="宋体"/>
                <w:sz w:val="20"/>
                <w:lang w:eastAsia="zh-CN"/>
              </w:rPr>
            </w:pPr>
            <w:r>
              <w:rPr>
                <w:rFonts w:hint="eastAsia" w:eastAsia="宋体"/>
                <w:sz w:val="20"/>
                <w:lang w:eastAsia="zh-CN"/>
              </w:rPr>
              <w:t>Support the following for UL CI</w:t>
            </w:r>
          </w:p>
          <w:p>
            <w:pPr>
              <w:pStyle w:val="71"/>
              <w:numPr>
                <w:ilvl w:val="0"/>
                <w:numId w:val="7"/>
              </w:numPr>
              <w:overflowPunct w:val="0"/>
              <w:autoSpaceDE w:val="0"/>
              <w:autoSpaceDN w:val="0"/>
              <w:adjustRightInd w:val="0"/>
              <w:snapToGrid w:val="0"/>
              <w:contextualSpacing/>
              <w:textAlignment w:val="baseline"/>
              <w:rPr>
                <w:rFonts w:eastAsia="宋体"/>
                <w:bCs/>
                <w:iCs/>
                <w:lang w:eastAsia="zh-CN"/>
              </w:rPr>
            </w:pPr>
            <w:bookmarkStart w:id="5" w:name="OLE_LINK14"/>
            <w:r>
              <w:rPr>
                <w:rFonts w:hint="eastAsia" w:eastAsia="宋体"/>
                <w:bCs/>
                <w:iCs/>
                <w:lang w:eastAsia="zh-CN"/>
              </w:rPr>
              <w:t>Each UL cancelation indicator per serving cell has a RRC configurable field size of  X bits</w:t>
            </w:r>
            <w:bookmarkEnd w:id="5"/>
            <w:r>
              <w:rPr>
                <w:rFonts w:hint="eastAsia" w:eastAsia="宋体"/>
                <w:bCs/>
                <w:iCs/>
                <w:lang w:eastAsia="zh-CN"/>
              </w:rPr>
              <w:t xml:space="preserve"> </w:t>
            </w:r>
          </w:p>
          <w:p>
            <w:pPr>
              <w:pStyle w:val="71"/>
              <w:numPr>
                <w:ilvl w:val="3"/>
                <w:numId w:val="12"/>
              </w:numPr>
              <w:overflowPunct w:val="0"/>
              <w:autoSpaceDE w:val="0"/>
              <w:autoSpaceDN w:val="0"/>
              <w:adjustRightInd w:val="0"/>
              <w:snapToGrid w:val="0"/>
              <w:contextualSpacing/>
              <w:textAlignment w:val="baseline"/>
              <w:rPr>
                <w:rFonts w:eastAsia="宋体"/>
                <w:lang w:eastAsia="zh-CN"/>
              </w:rPr>
            </w:pPr>
            <w:r>
              <w:rPr>
                <w:rFonts w:eastAsia="宋体"/>
                <w:lang w:eastAsia="zh-CN"/>
              </w:rPr>
              <w:t>One value of X is 14</w:t>
            </w:r>
          </w:p>
          <w:p>
            <w:pPr>
              <w:pStyle w:val="71"/>
              <w:numPr>
                <w:ilvl w:val="3"/>
                <w:numId w:val="12"/>
              </w:numPr>
              <w:overflowPunct w:val="0"/>
              <w:autoSpaceDE w:val="0"/>
              <w:autoSpaceDN w:val="0"/>
              <w:adjustRightInd w:val="0"/>
              <w:snapToGrid w:val="0"/>
              <w:contextualSpacing/>
              <w:textAlignment w:val="baseline"/>
              <w:rPr>
                <w:rFonts w:eastAsia="宋体"/>
                <w:lang w:eastAsia="zh-CN"/>
              </w:rPr>
            </w:pPr>
            <w:r>
              <w:rPr>
                <w:rFonts w:hint="eastAsia" w:eastAsia="宋体"/>
                <w:lang w:eastAsia="zh-CN"/>
              </w:rPr>
              <w:t xml:space="preserve">FFS </w:t>
            </w:r>
            <w:r>
              <w:rPr>
                <w:rFonts w:eastAsia="宋体"/>
                <w:lang w:eastAsia="zh-CN"/>
              </w:rPr>
              <w:t>other</w:t>
            </w:r>
            <w:r>
              <w:rPr>
                <w:rFonts w:hint="eastAsia" w:eastAsia="宋体"/>
                <w:lang w:eastAsia="zh-CN"/>
              </w:rPr>
              <w:t xml:space="preserve"> values (e.g. </w:t>
            </w:r>
            <w:r>
              <w:rPr>
                <w:rFonts w:eastAsia="宋体"/>
                <w:lang w:eastAsia="zh-CN"/>
              </w:rPr>
              <w:t>X</w:t>
            </w:r>
            <w:r>
              <w:rPr>
                <w:rFonts w:hint="eastAsia" w:eastAsia="宋体"/>
                <w:lang w:eastAsia="zh-CN"/>
              </w:rPr>
              <w:t xml:space="preserve"> can be N (N&gt;0) times of 7)</w:t>
            </w:r>
          </w:p>
          <w:p>
            <w:pPr>
              <w:pStyle w:val="71"/>
              <w:numPr>
                <w:ilvl w:val="0"/>
                <w:numId w:val="7"/>
              </w:numPr>
              <w:overflowPunct w:val="0"/>
              <w:autoSpaceDE w:val="0"/>
              <w:autoSpaceDN w:val="0"/>
              <w:adjustRightInd w:val="0"/>
              <w:snapToGrid w:val="0"/>
              <w:contextualSpacing/>
              <w:textAlignment w:val="baseline"/>
              <w:rPr>
                <w:rFonts w:eastAsia="宋体"/>
                <w:bCs/>
                <w:iCs/>
                <w:lang w:eastAsia="zh-CN"/>
              </w:rPr>
            </w:pPr>
            <w:r>
              <w:rPr>
                <w:rFonts w:hint="eastAsia" w:eastAsia="宋体"/>
                <w:bCs/>
                <w:iCs/>
                <w:lang w:eastAsia="zh-CN"/>
              </w:rPr>
              <w:t>The time domain granularity for the reference time region is configured by RRC</w:t>
            </w:r>
          </w:p>
          <w:p>
            <w:pPr>
              <w:pStyle w:val="71"/>
              <w:numPr>
                <w:ilvl w:val="3"/>
                <w:numId w:val="12"/>
              </w:numPr>
              <w:overflowPunct w:val="0"/>
              <w:autoSpaceDE w:val="0"/>
              <w:autoSpaceDN w:val="0"/>
              <w:adjustRightInd w:val="0"/>
              <w:snapToGrid w:val="0"/>
              <w:contextualSpacing/>
              <w:textAlignment w:val="baseline"/>
              <w:rPr>
                <w:rFonts w:eastAsia="宋体"/>
                <w:lang w:eastAsia="zh-CN"/>
              </w:rPr>
            </w:pPr>
            <w:r>
              <w:rPr>
                <w:rFonts w:hint="eastAsia" w:eastAsia="宋体"/>
                <w:lang w:eastAsia="zh-CN"/>
              </w:rPr>
              <w:t xml:space="preserve">FFS the possible values  (e.g. the time region </w:t>
            </w:r>
            <w:r>
              <w:rPr>
                <w:rFonts w:eastAsia="宋体"/>
                <w:lang w:eastAsia="zh-CN"/>
              </w:rPr>
              <w:t>can</w:t>
            </w:r>
            <w:r>
              <w:rPr>
                <w:rFonts w:hint="eastAsia" w:eastAsia="宋体"/>
                <w:lang w:eastAsia="zh-CN"/>
              </w:rPr>
              <w:t xml:space="preserve"> be divided into [1],[2],[4],[7],[14],</w:t>
            </w:r>
            <w:r>
              <w:rPr>
                <w:rFonts w:eastAsia="宋体"/>
                <w:lang w:eastAsia="zh-CN"/>
              </w:rPr>
              <w:t>…</w:t>
            </w:r>
            <w:r>
              <w:rPr>
                <w:rFonts w:hint="eastAsia" w:eastAsia="宋体"/>
                <w:lang w:eastAsia="zh-CN"/>
              </w:rPr>
              <w:t>portions)</w:t>
            </w:r>
          </w:p>
          <w:p>
            <w:pPr>
              <w:pStyle w:val="71"/>
              <w:numPr>
                <w:ilvl w:val="3"/>
                <w:numId w:val="12"/>
              </w:numPr>
              <w:overflowPunct w:val="0"/>
              <w:autoSpaceDE w:val="0"/>
              <w:autoSpaceDN w:val="0"/>
              <w:adjustRightInd w:val="0"/>
              <w:snapToGrid w:val="0"/>
              <w:contextualSpacing/>
              <w:textAlignment w:val="baseline"/>
              <w:rPr>
                <w:rFonts w:eastAsia="宋体"/>
                <w:lang w:eastAsia="zh-CN"/>
              </w:rPr>
            </w:pPr>
            <w:r>
              <w:rPr>
                <w:rFonts w:hint="eastAsia" w:eastAsia="宋体"/>
                <w:lang w:eastAsia="zh-CN"/>
              </w:rPr>
              <w:t>FFS valid configurations according to the duration of the time reference region</w:t>
            </w:r>
          </w:p>
          <w:p>
            <w:pPr>
              <w:pStyle w:val="71"/>
              <w:numPr>
                <w:ilvl w:val="0"/>
                <w:numId w:val="7"/>
              </w:numPr>
              <w:overflowPunct w:val="0"/>
              <w:autoSpaceDE w:val="0"/>
              <w:autoSpaceDN w:val="0"/>
              <w:adjustRightInd w:val="0"/>
              <w:snapToGrid w:val="0"/>
              <w:contextualSpacing/>
              <w:textAlignment w:val="baseline"/>
              <w:rPr>
                <w:rFonts w:eastAsia="宋体"/>
                <w:bCs/>
                <w:iCs/>
                <w:lang w:eastAsia="zh-CN"/>
              </w:rPr>
            </w:pPr>
            <w:r>
              <w:rPr>
                <w:rFonts w:hint="eastAsia" w:eastAsia="宋体"/>
                <w:bCs/>
                <w:iCs/>
                <w:lang w:eastAsia="zh-CN"/>
              </w:rPr>
              <w:t>The frequency domain granularity is determined based on the configured time domain granularity and the configured bit field size of each indicator</w:t>
            </w:r>
          </w:p>
          <w:p>
            <w:pPr>
              <w:pStyle w:val="71"/>
              <w:numPr>
                <w:ilvl w:val="0"/>
                <w:numId w:val="7"/>
              </w:numPr>
              <w:overflowPunct w:val="0"/>
              <w:autoSpaceDE w:val="0"/>
              <w:autoSpaceDN w:val="0"/>
              <w:adjustRightInd w:val="0"/>
              <w:snapToGrid w:val="0"/>
              <w:contextualSpacing/>
              <w:textAlignment w:val="baseline"/>
              <w:rPr>
                <w:rFonts w:eastAsia="宋体"/>
                <w:bCs/>
                <w:iCs/>
                <w:lang w:eastAsia="zh-CN"/>
              </w:rPr>
            </w:pPr>
            <w:bookmarkStart w:id="6" w:name="OLE_LINK2"/>
            <w:r>
              <w:rPr>
                <w:rFonts w:hint="eastAsia" w:eastAsia="宋体"/>
                <w:bCs/>
                <w:iCs/>
                <w:lang w:eastAsia="zh-CN"/>
              </w:rPr>
              <w:t>The time and frequency resource for cancellation is jointly indicated by a 2D-bitmap (i.e. similar as DL PI) over the time and frequency partitions within the reference region</w:t>
            </w:r>
            <w:bookmarkEnd w:id="6"/>
          </w:p>
          <w:p>
            <w:pPr>
              <w:pStyle w:val="71"/>
              <w:numPr>
                <w:ilvl w:val="3"/>
                <w:numId w:val="12"/>
              </w:numPr>
              <w:overflowPunct w:val="0"/>
              <w:autoSpaceDE w:val="0"/>
              <w:autoSpaceDN w:val="0"/>
              <w:adjustRightInd w:val="0"/>
              <w:snapToGrid w:val="0"/>
              <w:contextualSpacing/>
              <w:textAlignment w:val="baseline"/>
              <w:rPr>
                <w:rFonts w:eastAsia="宋体"/>
                <w:lang w:eastAsia="zh-CN"/>
              </w:rPr>
            </w:pPr>
            <w:r>
              <w:rPr>
                <w:rFonts w:hint="eastAsia" w:eastAsia="宋体"/>
                <w:lang w:eastAsia="zh-CN"/>
              </w:rPr>
              <w:t>FFS dynamic 2D-bitmap</w:t>
            </w:r>
          </w:p>
          <w:p>
            <w:pPr>
              <w:spacing w:after="60"/>
              <w:rPr>
                <w:sz w:val="20"/>
                <w:szCs w:val="15"/>
                <w:highlight w:val="green"/>
                <w:lang w:val="en-US" w:eastAsia="zh-CN"/>
              </w:rPr>
            </w:pPr>
            <w:r>
              <w:rPr>
                <w:sz w:val="20"/>
                <w:szCs w:val="15"/>
                <w:highlight w:val="green"/>
                <w:lang w:val="en-US" w:eastAsia="zh-CN"/>
              </w:rPr>
              <w:t>Agreements:</w:t>
            </w:r>
          </w:p>
          <w:p>
            <w:pPr>
              <w:pStyle w:val="71"/>
              <w:numPr>
                <w:ilvl w:val="0"/>
                <w:numId w:val="7"/>
              </w:numPr>
              <w:overflowPunct w:val="0"/>
              <w:autoSpaceDE w:val="0"/>
              <w:autoSpaceDN w:val="0"/>
              <w:adjustRightInd w:val="0"/>
              <w:snapToGrid w:val="0"/>
              <w:ind w:hanging="363"/>
              <w:contextualSpacing/>
              <w:textAlignment w:val="baseline"/>
              <w:rPr>
                <w:rFonts w:eastAsia="宋体"/>
                <w:bCs/>
                <w:iCs/>
                <w:lang w:eastAsia="zh-CN"/>
              </w:rPr>
            </w:pPr>
            <w:r>
              <w:rPr>
                <w:rFonts w:hint="eastAsia" w:eastAsia="宋体"/>
                <w:bCs/>
                <w:iCs/>
                <w:lang w:eastAsia="zh-CN"/>
              </w:rPr>
              <w:t xml:space="preserve">For DG-PUSCH, one bit (separately from SRI) in UL grant is used to indicate the open loop power control parameter set </w:t>
            </w:r>
          </w:p>
          <w:p>
            <w:pPr>
              <w:pStyle w:val="71"/>
              <w:numPr>
                <w:ilvl w:val="3"/>
                <w:numId w:val="12"/>
              </w:numPr>
              <w:overflowPunct w:val="0"/>
              <w:autoSpaceDE w:val="0"/>
              <w:autoSpaceDN w:val="0"/>
              <w:adjustRightInd w:val="0"/>
              <w:snapToGrid w:val="0"/>
              <w:ind w:left="958" w:leftChars="200" w:hanging="478" w:hangingChars="239"/>
              <w:contextualSpacing/>
              <w:textAlignment w:val="baseline"/>
              <w:rPr>
                <w:rFonts w:eastAsia="宋体"/>
                <w:lang w:eastAsia="zh-CN"/>
              </w:rPr>
            </w:pPr>
            <w:r>
              <w:rPr>
                <w:rFonts w:eastAsia="宋体"/>
                <w:lang w:eastAsia="zh-CN"/>
              </w:rPr>
              <w:t>Introduce one new RRC parameter that contains one additional P0-PUSCH-Set per SRI</w:t>
            </w:r>
          </w:p>
          <w:p>
            <w:pPr>
              <w:pStyle w:val="71"/>
              <w:numPr>
                <w:ilvl w:val="3"/>
                <w:numId w:val="12"/>
              </w:numPr>
              <w:overflowPunct w:val="0"/>
              <w:autoSpaceDE w:val="0"/>
              <w:autoSpaceDN w:val="0"/>
              <w:adjustRightInd w:val="0"/>
              <w:snapToGrid w:val="0"/>
              <w:ind w:left="958" w:leftChars="200" w:hanging="478" w:hangingChars="239"/>
              <w:contextualSpacing/>
              <w:textAlignment w:val="baseline"/>
              <w:rPr>
                <w:rFonts w:eastAsia="宋体"/>
                <w:lang w:eastAsia="zh-CN"/>
              </w:rPr>
            </w:pPr>
            <w:r>
              <w:rPr>
                <w:rFonts w:eastAsia="宋体"/>
                <w:lang w:eastAsia="zh-CN"/>
              </w:rPr>
              <w:t xml:space="preserve">The one bit indication is present in the UL grant when the above new RRC parameter is configured </w:t>
            </w:r>
          </w:p>
          <w:p>
            <w:pPr>
              <w:pStyle w:val="71"/>
              <w:numPr>
                <w:ilvl w:val="3"/>
                <w:numId w:val="12"/>
              </w:numPr>
              <w:overflowPunct w:val="0"/>
              <w:autoSpaceDE w:val="0"/>
              <w:autoSpaceDN w:val="0"/>
              <w:adjustRightInd w:val="0"/>
              <w:snapToGrid w:val="0"/>
              <w:ind w:left="958" w:leftChars="200" w:hanging="478" w:hangingChars="239"/>
              <w:contextualSpacing/>
              <w:textAlignment w:val="baseline"/>
              <w:rPr>
                <w:rFonts w:eastAsia="宋体"/>
                <w:lang w:eastAsia="zh-CN"/>
              </w:rPr>
            </w:pPr>
            <w:r>
              <w:rPr>
                <w:rFonts w:eastAsia="宋体"/>
                <w:lang w:eastAsia="zh-CN"/>
              </w:rPr>
              <w:t>If present, the one bit in the DCI is used to switch between the P0 value from the existing P0-PUSCH-AlphaSet and the P0 value from the newly configured P0-PUSCH-Set</w:t>
            </w:r>
          </w:p>
          <w:p>
            <w:pPr>
              <w:spacing w:after="60"/>
              <w:rPr>
                <w:sz w:val="20"/>
                <w:szCs w:val="15"/>
                <w:lang w:val="en-US" w:eastAsia="zh-CN"/>
              </w:rPr>
            </w:pPr>
            <w:r>
              <w:rPr>
                <w:sz w:val="20"/>
                <w:szCs w:val="15"/>
                <w:lang w:val="en-US" w:eastAsia="zh-CN"/>
              </w:rPr>
              <w:t>Conclusion:</w:t>
            </w:r>
          </w:p>
          <w:p>
            <w:pPr>
              <w:pStyle w:val="71"/>
              <w:numPr>
                <w:ilvl w:val="0"/>
                <w:numId w:val="7"/>
              </w:numPr>
              <w:overflowPunct w:val="0"/>
              <w:autoSpaceDE w:val="0"/>
              <w:autoSpaceDN w:val="0"/>
              <w:adjustRightInd w:val="0"/>
              <w:snapToGrid w:val="0"/>
              <w:ind w:left="726" w:hanging="363"/>
              <w:contextualSpacing/>
              <w:textAlignment w:val="baseline"/>
              <w:rPr>
                <w:rFonts w:eastAsia="宋体"/>
                <w:bCs/>
                <w:iCs/>
                <w:lang w:eastAsia="zh-CN"/>
              </w:rPr>
            </w:pPr>
            <w:r>
              <w:rPr>
                <w:rFonts w:hint="eastAsia" w:eastAsia="宋体"/>
                <w:bCs/>
                <w:iCs/>
                <w:lang w:eastAsia="zh-CN"/>
              </w:rPr>
              <w:t>No enhancement for CG-PUSCH power control in Rel-16 for inter-UE multiplexing</w:t>
            </w:r>
          </w:p>
          <w:p>
            <w:pPr>
              <w:pStyle w:val="71"/>
              <w:numPr>
                <w:ilvl w:val="255"/>
                <w:numId w:val="0"/>
              </w:numPr>
              <w:overflowPunct w:val="0"/>
              <w:autoSpaceDE w:val="0"/>
              <w:autoSpaceDN w:val="0"/>
              <w:adjustRightInd w:val="0"/>
              <w:snapToGrid w:val="0"/>
              <w:spacing w:after="0"/>
              <w:contextualSpacing/>
              <w:textAlignment w:val="baseline"/>
              <w:rPr>
                <w:lang w:val="en-US" w:eastAsia="zh-CN"/>
              </w:rPr>
            </w:pPr>
          </w:p>
        </w:tc>
      </w:tr>
    </w:tbl>
    <w:p>
      <w:pPr>
        <w:snapToGrid w:val="0"/>
        <w:spacing w:afterLines="50"/>
        <w:rPr>
          <w:rFonts w:eastAsia="Times New Roman"/>
          <w:sz w:val="20"/>
          <w:szCs w:val="22"/>
          <w:lang w:val="en-US" w:eastAsia="zh-CN"/>
        </w:rPr>
      </w:pPr>
      <w:r>
        <w:rPr>
          <w:rFonts w:hint="eastAsia" w:eastAsia="Times New Roman"/>
          <w:sz w:val="20"/>
          <w:szCs w:val="22"/>
          <w:lang w:val="en-US" w:eastAsia="zh-CN"/>
        </w:rPr>
        <w:t xml:space="preserve">In this contribution, remaining details of UL cancelation mechanism and UL power control mechanism are described. </w:t>
      </w:r>
    </w:p>
    <w:p>
      <w:pPr>
        <w:pStyle w:val="2"/>
        <w:rPr>
          <w:lang w:val="en-US" w:eastAsia="zh-CN"/>
        </w:rPr>
      </w:pPr>
      <w:r>
        <w:rPr>
          <w:rFonts w:hint="eastAsia"/>
          <w:lang w:val="en-US" w:eastAsia="zh-CN"/>
        </w:rPr>
        <w:t xml:space="preserve">Details of UL cancelation </w:t>
      </w:r>
      <w:r>
        <w:rPr>
          <w:rFonts w:hint="eastAsia"/>
          <w:lang w:eastAsia="zh-CN"/>
        </w:rPr>
        <w:t>mechanism</w:t>
      </w:r>
    </w:p>
    <w:p>
      <w:pPr>
        <w:pStyle w:val="3"/>
        <w:rPr>
          <w:szCs w:val="22"/>
          <w:lang w:val="en-US" w:eastAsia="zh-CN"/>
        </w:rPr>
      </w:pPr>
      <w:r>
        <w:rPr>
          <w:rFonts w:hint="eastAsia"/>
          <w:szCs w:val="22"/>
          <w:lang w:val="en-US" w:eastAsia="zh-CN"/>
        </w:rPr>
        <w:t>Time/frequency resource indication methods</w:t>
      </w:r>
    </w:p>
    <w:p>
      <w:pPr>
        <w:snapToGrid w:val="0"/>
        <w:spacing w:afterLines="50"/>
        <w:rPr>
          <w:rFonts w:eastAsia="Batang"/>
          <w:sz w:val="20"/>
          <w:szCs w:val="22"/>
          <w:lang w:val="en-US" w:eastAsia="zh-CN"/>
        </w:rPr>
      </w:pPr>
      <w:r>
        <w:rPr>
          <w:rFonts w:eastAsia="Batang"/>
          <w:sz w:val="20"/>
          <w:szCs w:val="22"/>
          <w:lang w:val="en-US" w:eastAsia="zh-CN"/>
        </w:rPr>
        <w:t xml:space="preserve">There are </w:t>
      </w:r>
      <w:r>
        <w:rPr>
          <w:rFonts w:hint="eastAsia" w:eastAsia="Batang"/>
          <w:sz w:val="20"/>
          <w:szCs w:val="22"/>
          <w:lang w:val="en-US" w:eastAsia="zh-CN"/>
        </w:rPr>
        <w:t xml:space="preserve">two types of methods with 2-D bitmap for time/frequency resource indication now. We summarize them as follows: </w:t>
      </w:r>
    </w:p>
    <w:p>
      <w:pPr>
        <w:pStyle w:val="71"/>
        <w:numPr>
          <w:ilvl w:val="3"/>
          <w:numId w:val="13"/>
        </w:numPr>
        <w:overflowPunct w:val="0"/>
        <w:autoSpaceDE w:val="0"/>
        <w:autoSpaceDN w:val="0"/>
        <w:adjustRightInd w:val="0"/>
        <w:snapToGrid w:val="0"/>
        <w:spacing w:beforeLines="50" w:afterLines="50" w:line="360" w:lineRule="auto"/>
        <w:ind w:left="1200" w:hanging="720"/>
        <w:contextualSpacing/>
        <w:textAlignment w:val="baseline"/>
        <w:rPr>
          <w:bCs/>
          <w:iCs/>
          <w:lang w:eastAsia="zh-CN"/>
        </w:rPr>
      </w:pPr>
      <w:r>
        <w:rPr>
          <w:rFonts w:hint="eastAsia" w:eastAsia="宋体"/>
          <w:bCs/>
          <w:iCs/>
          <w:lang w:eastAsia="zh-CN"/>
        </w:rPr>
        <w:t xml:space="preserve">Option </w:t>
      </w:r>
      <w:r>
        <w:rPr>
          <w:rFonts w:hint="eastAsia" w:eastAsia="宋体"/>
          <w:bCs/>
          <w:iCs/>
          <w:lang w:val="en-US" w:eastAsia="zh-CN"/>
        </w:rPr>
        <w:t xml:space="preserve">1: Semi-static </w:t>
      </w:r>
      <w:r>
        <w:rPr>
          <w:rFonts w:hint="eastAsia" w:ascii="Times" w:hAnsi="Times" w:eastAsia="宋体" w:cs="Times"/>
          <w:bCs/>
          <w:iCs/>
          <w:lang w:eastAsia="zh-CN"/>
        </w:rPr>
        <w:t>2-D bitmap indication</w:t>
      </w:r>
    </w:p>
    <w:p>
      <w:pPr>
        <w:pStyle w:val="71"/>
        <w:numPr>
          <w:ilvl w:val="3"/>
          <w:numId w:val="13"/>
        </w:numPr>
        <w:overflowPunct w:val="0"/>
        <w:autoSpaceDE w:val="0"/>
        <w:autoSpaceDN w:val="0"/>
        <w:adjustRightInd w:val="0"/>
        <w:snapToGrid w:val="0"/>
        <w:spacing w:beforeLines="50" w:afterLines="50" w:line="360" w:lineRule="auto"/>
        <w:ind w:left="1200" w:hanging="720"/>
        <w:contextualSpacing/>
        <w:textAlignment w:val="baseline"/>
        <w:rPr>
          <w:bCs/>
          <w:iCs/>
          <w:lang w:eastAsia="zh-CN"/>
        </w:rPr>
      </w:pPr>
      <w:r>
        <w:rPr>
          <w:rFonts w:hint="eastAsia" w:eastAsia="宋体"/>
          <w:bCs/>
          <w:iCs/>
          <w:lang w:eastAsia="zh-CN"/>
        </w:rPr>
        <w:t xml:space="preserve">Option </w:t>
      </w:r>
      <w:r>
        <w:rPr>
          <w:rFonts w:hint="eastAsia" w:eastAsia="宋体"/>
          <w:bCs/>
          <w:iCs/>
          <w:lang w:val="en-US" w:eastAsia="zh-CN"/>
        </w:rPr>
        <w:t>2: Dynamic</w:t>
      </w:r>
      <w:r>
        <w:rPr>
          <w:rFonts w:hint="eastAsia" w:ascii="Times" w:hAnsi="Times" w:eastAsia="宋体" w:cs="Times"/>
          <w:bCs/>
          <w:iCs/>
          <w:lang w:eastAsia="zh-CN"/>
        </w:rPr>
        <w:t xml:space="preserve"> 2-D bitmap indication</w:t>
      </w:r>
    </w:p>
    <w:p>
      <w:pPr>
        <w:snapToGrid w:val="0"/>
        <w:spacing w:afterLines="50"/>
        <w:rPr>
          <w:rFonts w:eastAsia="Batang"/>
          <w:sz w:val="20"/>
          <w:lang w:val="en-US" w:eastAsia="zh-CN"/>
        </w:rPr>
      </w:pPr>
      <w:r>
        <w:rPr>
          <w:rFonts w:hint="eastAsia" w:eastAsia="Batang"/>
          <w:sz w:val="20"/>
          <w:lang w:val="en-US" w:eastAsia="zh-CN"/>
        </w:rPr>
        <w:t xml:space="preserve">For describing and comparing the above options, the maximum overhead of cancelation resource indication in UL CI is assumed as 28 bits, and the RUR is divided into 7 portions in time for example. </w:t>
      </w:r>
    </w:p>
    <w:p>
      <w:pPr>
        <w:pStyle w:val="71"/>
        <w:numPr>
          <w:ilvl w:val="2"/>
          <w:numId w:val="13"/>
        </w:numPr>
        <w:overflowPunct w:val="0"/>
        <w:autoSpaceDE w:val="0"/>
        <w:autoSpaceDN w:val="0"/>
        <w:adjustRightInd w:val="0"/>
        <w:snapToGrid w:val="0"/>
        <w:spacing w:beforeLines="50" w:afterLines="50" w:line="360" w:lineRule="auto"/>
        <w:ind w:left="780" w:hanging="720"/>
        <w:contextualSpacing/>
        <w:textAlignment w:val="baseline"/>
        <w:rPr>
          <w:rFonts w:eastAsia="宋体"/>
          <w:b/>
          <w:iCs/>
          <w:szCs w:val="22"/>
          <w:lang w:eastAsia="zh-CN"/>
        </w:rPr>
      </w:pPr>
      <w:r>
        <w:rPr>
          <w:rFonts w:hint="eastAsia" w:eastAsia="宋体"/>
          <w:b/>
          <w:iCs/>
          <w:szCs w:val="22"/>
          <w:lang w:eastAsia="zh-CN"/>
        </w:rPr>
        <w:t xml:space="preserve">Option </w:t>
      </w:r>
      <w:r>
        <w:rPr>
          <w:rFonts w:hint="eastAsia" w:eastAsia="宋体"/>
          <w:b/>
          <w:iCs/>
          <w:szCs w:val="22"/>
          <w:lang w:val="en-US" w:eastAsia="zh-CN"/>
        </w:rPr>
        <w:t xml:space="preserve">1: </w:t>
      </w:r>
      <w:r>
        <w:rPr>
          <w:rFonts w:eastAsia="宋体"/>
          <w:b/>
          <w:iCs/>
          <w:szCs w:val="22"/>
          <w:lang w:val="en-US" w:eastAsia="zh-CN"/>
        </w:rPr>
        <w:t>Semi-static</w:t>
      </w:r>
      <w:r>
        <w:rPr>
          <w:rFonts w:hint="eastAsia" w:eastAsia="宋体"/>
          <w:b/>
          <w:iCs/>
          <w:szCs w:val="22"/>
          <w:lang w:val="en-US" w:eastAsia="zh-CN"/>
        </w:rPr>
        <w:t xml:space="preserve"> </w:t>
      </w:r>
      <w:r>
        <w:rPr>
          <w:rFonts w:hint="eastAsia" w:eastAsia="宋体"/>
          <w:b/>
          <w:iCs/>
          <w:szCs w:val="22"/>
          <w:lang w:eastAsia="zh-CN"/>
        </w:rPr>
        <w:t>2-D bitmap indication</w:t>
      </w:r>
    </w:p>
    <w:p>
      <w:pPr>
        <w:numPr>
          <w:ilvl w:val="0"/>
          <w:numId w:val="14"/>
        </w:numPr>
        <w:snapToGrid w:val="0"/>
        <w:spacing w:afterLines="50"/>
        <w:ind w:left="420" w:hanging="420"/>
        <w:rPr>
          <w:rFonts w:eastAsia="Batang"/>
          <w:sz w:val="20"/>
          <w:lang w:val="en-US" w:eastAsia="zh-CN"/>
        </w:rPr>
      </w:pPr>
      <w:r>
        <w:rPr>
          <w:rFonts w:hint="eastAsia" w:eastAsia="宋体"/>
          <w:b/>
          <w:bCs/>
          <w:sz w:val="20"/>
          <w:lang w:val="en-US" w:eastAsia="zh-CN"/>
        </w:rPr>
        <w:t xml:space="preserve"> </w:t>
      </w:r>
      <w:r>
        <w:rPr>
          <w:rFonts w:hint="eastAsia" w:eastAsia="宋体"/>
          <w:b w:val="0"/>
          <w:bCs w:val="0"/>
          <w:sz w:val="20"/>
          <w:lang w:val="en-US" w:eastAsia="zh-CN"/>
        </w:rPr>
        <w:t xml:space="preserve">Denote </w:t>
      </w:r>
      <w:r>
        <w:rPr>
          <w:rFonts w:eastAsia="宋体"/>
          <w:b/>
          <w:bCs/>
          <w:sz w:val="20"/>
          <w:lang w:val="en-US" w:eastAsia="zh-CN"/>
        </w:rPr>
        <w:t>C</w:t>
      </w:r>
      <w:r>
        <w:rPr>
          <w:rFonts w:eastAsia="宋体"/>
          <w:sz w:val="20"/>
          <w:vertAlign w:val="subscript"/>
          <w:lang w:val="en-US" w:eastAsia="zh-CN"/>
        </w:rPr>
        <w:t>M</w:t>
      </w:r>
      <w:r>
        <w:rPr>
          <w:sz w:val="20"/>
          <w:vertAlign w:val="subscript"/>
        </w:rPr>
        <w:t>×</w:t>
      </w:r>
      <w:r>
        <w:rPr>
          <w:rFonts w:eastAsia="宋体"/>
          <w:sz w:val="20"/>
          <w:vertAlign w:val="subscript"/>
          <w:lang w:val="en-US" w:eastAsia="zh-CN"/>
        </w:rPr>
        <w:t>N</w:t>
      </w:r>
      <w:r>
        <w:rPr>
          <w:rFonts w:eastAsia="Batang"/>
          <w:sz w:val="20"/>
          <w:lang w:val="en-US" w:eastAsia="zh-CN"/>
        </w:rPr>
        <w:t xml:space="preserve"> </w:t>
      </w:r>
      <w:r>
        <w:rPr>
          <w:rFonts w:hint="eastAsia" w:eastAsia="Batang"/>
          <w:sz w:val="20"/>
          <w:lang w:val="en-US" w:eastAsia="zh-CN"/>
        </w:rPr>
        <w:t>as</w:t>
      </w:r>
      <w:r>
        <w:rPr>
          <w:rFonts w:eastAsia="Batang"/>
          <w:sz w:val="20"/>
          <w:lang w:val="en-US" w:eastAsia="zh-CN"/>
        </w:rPr>
        <w:t xml:space="preserve"> </w:t>
      </w:r>
      <w:r>
        <w:rPr>
          <w:rFonts w:hint="eastAsia" w:eastAsia="Batang"/>
          <w:sz w:val="20"/>
          <w:lang w:val="en-US" w:eastAsia="zh-CN"/>
        </w:rPr>
        <w:t>s</w:t>
      </w:r>
      <w:r>
        <w:rPr>
          <w:rFonts w:eastAsia="Batang"/>
          <w:sz w:val="20"/>
          <w:lang w:val="en-US" w:eastAsia="zh-CN"/>
        </w:rPr>
        <w:t xml:space="preserve">emi-static 2-D bitmap for time and frequency domain indication, </w:t>
      </w:r>
      <w:r>
        <w:rPr>
          <w:rFonts w:hint="eastAsia" w:eastAsia="Batang"/>
          <w:sz w:val="20"/>
          <w:lang w:val="en-US" w:eastAsia="zh-CN"/>
        </w:rPr>
        <w:t xml:space="preserve">i.e., the RUR is divided into </w:t>
      </w:r>
      <w:r>
        <w:rPr>
          <w:rFonts w:hint="default" w:eastAsia="Batang"/>
          <w:sz w:val="20"/>
          <w:lang w:val="en-US" w:eastAsia="zh-CN"/>
        </w:rPr>
        <w:t>‘</w:t>
      </w:r>
      <w:r>
        <w:rPr>
          <w:rFonts w:hint="eastAsia" w:eastAsia="Batang"/>
          <w:sz w:val="20"/>
          <w:szCs w:val="22"/>
          <w:lang w:val="en-US" w:eastAsia="zh-CN"/>
        </w:rPr>
        <w:t>M</w:t>
      </w:r>
      <w:r>
        <w:rPr>
          <w:rFonts w:hint="eastAsia" w:ascii="Times New Roman" w:hAnsi="Times New Roman" w:eastAsia="Batang" w:cs="Times New Roman"/>
          <w:sz w:val="20"/>
          <w:szCs w:val="22"/>
          <w:lang w:val="en-US" w:eastAsia="zh-CN"/>
        </w:rPr>
        <w:t>×</w:t>
      </w:r>
      <w:r>
        <w:rPr>
          <w:rFonts w:hint="eastAsia" w:eastAsia="Batang"/>
          <w:sz w:val="20"/>
          <w:szCs w:val="22"/>
          <w:lang w:val="en-US" w:eastAsia="zh-CN"/>
        </w:rPr>
        <w:t>N</w:t>
      </w:r>
      <w:r>
        <w:rPr>
          <w:rFonts w:hint="default" w:eastAsia="Batang"/>
          <w:sz w:val="20"/>
          <w:szCs w:val="22"/>
          <w:lang w:val="en-US" w:eastAsia="zh-CN"/>
        </w:rPr>
        <w:t>’</w:t>
      </w:r>
      <w:r>
        <w:rPr>
          <w:rFonts w:hint="eastAsia" w:eastAsia="Batang"/>
          <w:sz w:val="20"/>
          <w:szCs w:val="22"/>
          <w:lang w:val="en-US" w:eastAsia="zh-CN"/>
        </w:rPr>
        <w:t xml:space="preserve"> p</w:t>
      </w:r>
      <w:r>
        <w:rPr>
          <w:rFonts w:hint="eastAsia" w:eastAsia="Batang"/>
          <w:sz w:val="20"/>
          <w:lang w:val="en-US" w:eastAsia="zh-CN"/>
        </w:rPr>
        <w:t xml:space="preserve">ortions, each portion is indicated by a bit in the 2-D bitmap, </w:t>
      </w:r>
      <w:r>
        <w:rPr>
          <w:rFonts w:eastAsia="Batang"/>
          <w:sz w:val="20"/>
          <w:lang w:val="en-US" w:eastAsia="zh-CN"/>
        </w:rPr>
        <w:t>where</w:t>
      </w:r>
      <w:r>
        <w:rPr>
          <w:rFonts w:hint="eastAsia" w:eastAsia="Batang"/>
          <w:sz w:val="20"/>
          <w:lang w:val="en-US" w:eastAsia="zh-CN"/>
        </w:rPr>
        <w:t>in</w:t>
      </w:r>
      <w:r>
        <w:rPr>
          <w:rFonts w:eastAsia="Batang"/>
          <w:sz w:val="20"/>
          <w:lang w:val="en-US" w:eastAsia="zh-CN"/>
        </w:rPr>
        <w:t xml:space="preserve"> </w:t>
      </w:r>
      <w:r>
        <w:rPr>
          <w:rFonts w:hint="default" w:eastAsia="Batang"/>
          <w:sz w:val="20"/>
          <w:lang w:val="en-US" w:eastAsia="zh-CN"/>
        </w:rPr>
        <w:t>‘</w:t>
      </w:r>
      <w:r>
        <w:rPr>
          <w:rFonts w:eastAsia="Batang"/>
          <w:sz w:val="20"/>
          <w:lang w:val="en-US" w:eastAsia="zh-CN"/>
        </w:rPr>
        <w:t>M</w:t>
      </w:r>
      <w:r>
        <w:rPr>
          <w:rFonts w:hint="default" w:eastAsia="Batang"/>
          <w:sz w:val="20"/>
          <w:lang w:val="en-US" w:eastAsia="zh-CN"/>
        </w:rPr>
        <w:t>’</w:t>
      </w:r>
      <w:r>
        <w:rPr>
          <w:rFonts w:hint="eastAsia" w:eastAsia="Batang"/>
          <w:sz w:val="20"/>
          <w:lang w:val="en-US" w:eastAsia="zh-CN"/>
        </w:rPr>
        <w:t xml:space="preserve">, </w:t>
      </w:r>
      <w:r>
        <w:rPr>
          <w:rFonts w:hint="default" w:eastAsia="Batang"/>
          <w:sz w:val="20"/>
          <w:lang w:val="en-US" w:eastAsia="zh-CN"/>
        </w:rPr>
        <w:t>‘</w:t>
      </w:r>
      <w:r>
        <w:rPr>
          <w:rFonts w:hint="eastAsia" w:eastAsia="Batang"/>
          <w:sz w:val="20"/>
          <w:lang w:val="en-US" w:eastAsia="zh-CN"/>
        </w:rPr>
        <w:t>N</w:t>
      </w:r>
      <w:r>
        <w:rPr>
          <w:rFonts w:hint="default" w:eastAsia="Batang"/>
          <w:sz w:val="20"/>
          <w:lang w:val="en-US" w:eastAsia="zh-CN"/>
        </w:rPr>
        <w:t>’</w:t>
      </w:r>
      <w:r>
        <w:rPr>
          <w:rFonts w:eastAsia="Batang"/>
          <w:sz w:val="20"/>
          <w:lang w:val="en-US" w:eastAsia="zh-CN"/>
        </w:rPr>
        <w:t xml:space="preserve"> </w:t>
      </w:r>
      <w:r>
        <w:rPr>
          <w:rFonts w:hint="eastAsia" w:eastAsia="Batang"/>
          <w:sz w:val="20"/>
          <w:lang w:val="en-US" w:eastAsia="zh-CN"/>
        </w:rPr>
        <w:t>represent time domain</w:t>
      </w:r>
      <w:r>
        <w:rPr>
          <w:rFonts w:eastAsia="Batang"/>
          <w:sz w:val="20"/>
          <w:lang w:val="en-US" w:eastAsia="zh-CN"/>
        </w:rPr>
        <w:t xml:space="preserve"> </w:t>
      </w:r>
      <w:r>
        <w:rPr>
          <w:rFonts w:hint="eastAsia" w:eastAsia="Batang"/>
          <w:sz w:val="20"/>
          <w:lang w:val="en-US" w:eastAsia="zh-CN"/>
        </w:rPr>
        <w:t>granularity and frequency domain granularity respectively</w:t>
      </w:r>
      <w:r>
        <w:rPr>
          <w:rFonts w:eastAsia="Batang"/>
          <w:sz w:val="20"/>
          <w:lang w:val="en-US" w:eastAsia="zh-CN"/>
        </w:rPr>
        <w:t xml:space="preserve">. </w:t>
      </w:r>
      <w:r>
        <w:rPr>
          <w:rFonts w:hint="eastAsia" w:eastAsia="Batang"/>
          <w:sz w:val="20"/>
          <w:lang w:val="en-US" w:eastAsia="zh-CN"/>
        </w:rPr>
        <w:t xml:space="preserve">Both of them are determined semi-statically. </w:t>
      </w:r>
    </w:p>
    <w:p>
      <w:pPr>
        <w:snapToGrid w:val="0"/>
        <w:spacing w:afterLines="50"/>
        <w:jc w:val="center"/>
        <w:rPr>
          <w:rFonts w:eastAsiaTheme="minorEastAsia"/>
          <w:lang w:eastAsia="zh-CN"/>
        </w:rPr>
      </w:pPr>
      <w:r>
        <w:rPr>
          <w:rFonts w:hint="default" w:eastAsia="Times New Roman"/>
          <w:sz w:val="21"/>
        </w:rPr>
        <w:object>
          <v:shape id="_x0000_i1025" o:spt="75" type="#_x0000_t75" style="height:200.2pt;width:360.9pt;" o:ole="t" filled="f" o:preferrelative="t" stroked="f" coordsize="21600,21600">
            <v:path/>
            <v:fill on="f" alignshape="1" focussize="0,0"/>
            <v:stroke on="f"/>
            <v:imagedata r:id="rId5" grayscale="f" bilevel="f" o:title=""/>
            <o:lock v:ext="edit" aspectratio="t"/>
            <w10:wrap type="none"/>
            <w10:anchorlock/>
          </v:shape>
          <o:OLEObject Type="Embed" ProgID="Visio.Drawing.11" ShapeID="_x0000_i1025" DrawAspect="Content" ObjectID="_1468075725" r:id="rId4">
            <o:LockedField>false</o:LockedField>
          </o:OLEObject>
        </w:object>
      </w:r>
    </w:p>
    <w:p>
      <w:pPr>
        <w:snapToGrid w:val="0"/>
        <w:spacing w:afterLines="50"/>
        <w:jc w:val="center"/>
        <w:rPr>
          <w:rFonts w:eastAsiaTheme="minorEastAsia"/>
          <w:sz w:val="20"/>
          <w:szCs w:val="22"/>
          <w:lang w:val="en-US" w:eastAsia="zh-CN"/>
        </w:rPr>
      </w:pPr>
      <w:bookmarkStart w:id="7" w:name="OLE_LINK10"/>
      <w:r>
        <w:rPr>
          <w:b/>
          <w:sz w:val="20"/>
          <w:szCs w:val="22"/>
          <w:lang w:val="en-US" w:eastAsia="zh-CN"/>
        </w:rPr>
        <w:t>Fig</w:t>
      </w:r>
      <w:r>
        <w:rPr>
          <w:rFonts w:hint="eastAsia"/>
          <w:b/>
          <w:sz w:val="20"/>
          <w:szCs w:val="22"/>
          <w:lang w:val="en-US" w:eastAsia="zh-CN"/>
        </w:rPr>
        <w:t>u</w:t>
      </w:r>
      <w:r>
        <w:rPr>
          <w:rFonts w:hint="eastAsia" w:eastAsiaTheme="minorEastAsia"/>
          <w:b/>
          <w:sz w:val="20"/>
          <w:szCs w:val="22"/>
          <w:lang w:val="en-US" w:eastAsia="zh-CN"/>
        </w:rPr>
        <w:t>re</w:t>
      </w:r>
      <w:bookmarkEnd w:id="7"/>
      <w:r>
        <w:rPr>
          <w:rFonts w:hint="eastAsia" w:eastAsiaTheme="minorEastAsia"/>
          <w:b/>
          <w:sz w:val="20"/>
          <w:szCs w:val="22"/>
          <w:lang w:val="en-US" w:eastAsia="zh-CN"/>
        </w:rPr>
        <w:t>-1 Resource indicated by s</w:t>
      </w:r>
      <w:r>
        <w:rPr>
          <w:rFonts w:eastAsiaTheme="minorEastAsia"/>
          <w:b/>
          <w:sz w:val="20"/>
          <w:szCs w:val="22"/>
          <w:lang w:val="en-US" w:eastAsia="zh-CN"/>
        </w:rPr>
        <w:t>emi-static</w:t>
      </w:r>
      <w:r>
        <w:rPr>
          <w:rFonts w:hint="eastAsia" w:eastAsiaTheme="minorEastAsia"/>
          <w:b/>
          <w:sz w:val="20"/>
          <w:szCs w:val="22"/>
          <w:lang w:val="en-US" w:eastAsia="zh-CN"/>
        </w:rPr>
        <w:t xml:space="preserve"> 2-D bitmap indication</w:t>
      </w:r>
    </w:p>
    <w:p>
      <w:pPr>
        <w:snapToGrid w:val="0"/>
        <w:spacing w:afterLines="50"/>
        <w:rPr>
          <w:rFonts w:eastAsia="Times New Roman"/>
          <w:sz w:val="20"/>
          <w:lang w:val="en-US" w:eastAsia="zh-CN"/>
        </w:rPr>
      </w:pPr>
      <w:r>
        <w:rPr>
          <w:rFonts w:hint="eastAsia" w:eastAsia="Batang"/>
          <w:sz w:val="20"/>
          <w:lang w:val="en-US" w:eastAsia="zh-CN"/>
        </w:rPr>
        <w:t>The indication bits are allocated to each time domain occasion uniformly no matter whether the occasion contains cancelation resource or not. Then, only a</w:t>
      </w:r>
      <w:r>
        <w:rPr>
          <w:rFonts w:eastAsia="Batang"/>
          <w:sz w:val="20"/>
          <w:lang w:val="en-US" w:eastAsia="zh-CN"/>
        </w:rPr>
        <w:t xml:space="preserve"> relatively coarse</w:t>
      </w:r>
      <w:r>
        <w:rPr>
          <w:rFonts w:hint="eastAsia" w:eastAsia="Batang"/>
          <w:sz w:val="20"/>
          <w:lang w:val="en-US" w:eastAsia="zh-CN"/>
        </w:rPr>
        <w:t xml:space="preserve"> </w:t>
      </w:r>
      <w:r>
        <w:rPr>
          <w:rFonts w:eastAsia="Batang"/>
          <w:sz w:val="20"/>
          <w:lang w:val="en-US" w:eastAsia="zh-CN"/>
        </w:rPr>
        <w:t>granularity</w:t>
      </w:r>
      <w:r>
        <w:rPr>
          <w:rFonts w:hint="eastAsia" w:eastAsia="Batang"/>
          <w:sz w:val="20"/>
          <w:lang w:val="en-US" w:eastAsia="zh-CN"/>
        </w:rPr>
        <w:t xml:space="preserve"> can be provided especially for </w:t>
      </w:r>
      <w:r>
        <w:rPr>
          <w:rFonts w:eastAsia="Batang"/>
          <w:sz w:val="20"/>
          <w:lang w:val="en-US" w:eastAsia="zh-CN"/>
        </w:rPr>
        <w:t xml:space="preserve">frequency resource </w:t>
      </w:r>
      <w:r>
        <w:rPr>
          <w:rFonts w:hint="eastAsia" w:eastAsia="Batang"/>
          <w:sz w:val="20"/>
          <w:lang w:val="en-US" w:eastAsia="zh-CN"/>
        </w:rPr>
        <w:t>indication by this option. I</w:t>
      </w:r>
      <w:r>
        <w:rPr>
          <w:rFonts w:hint="eastAsia" w:eastAsia="Times New Roman"/>
          <w:sz w:val="20"/>
          <w:lang w:val="en-US" w:eastAsia="zh-CN"/>
        </w:rPr>
        <w:t xml:space="preserve">t will bring false cancelation in the frequency domain with a very high probability as shown in green box shown in Figure-1. </w:t>
      </w:r>
    </w:p>
    <w:p>
      <w:pPr>
        <w:snapToGrid w:val="0"/>
        <w:spacing w:afterLines="50" w:line="276" w:lineRule="auto"/>
        <w:rPr>
          <w:rFonts w:hint="default"/>
          <w:bCs/>
          <w:i/>
          <w:sz w:val="20"/>
          <w:lang w:val="en-US" w:eastAsia="zh-CN"/>
        </w:rPr>
      </w:pPr>
      <w:r>
        <w:rPr>
          <w:b/>
          <w:i/>
          <w:sz w:val="20"/>
          <w:lang w:val="en-US" w:eastAsia="zh-CN"/>
        </w:rPr>
        <w:t xml:space="preserve">Observation </w:t>
      </w:r>
      <w:r>
        <w:rPr>
          <w:rFonts w:hint="eastAsia"/>
          <w:b/>
          <w:i/>
          <w:sz w:val="20"/>
          <w:lang w:val="en-US" w:eastAsia="zh-CN"/>
        </w:rPr>
        <w:t>1</w:t>
      </w:r>
      <w:r>
        <w:rPr>
          <w:b/>
          <w:i/>
          <w:sz w:val="20"/>
          <w:lang w:val="en-US" w:eastAsia="zh-CN"/>
        </w:rPr>
        <w:t>:</w:t>
      </w:r>
      <w:r>
        <w:rPr>
          <w:rFonts w:hint="eastAsia"/>
          <w:bCs/>
          <w:i/>
          <w:sz w:val="20"/>
          <w:szCs w:val="22"/>
          <w:lang w:val="en-US" w:eastAsia="zh-CN"/>
        </w:rPr>
        <w:t xml:space="preserve"> </w:t>
      </w:r>
      <w:r>
        <w:rPr>
          <w:rFonts w:hint="eastAsia"/>
          <w:bCs/>
          <w:i/>
          <w:iCs w:val="0"/>
          <w:sz w:val="20"/>
          <w:szCs w:val="22"/>
          <w:lang w:val="en-US" w:eastAsia="zh-CN"/>
        </w:rPr>
        <w:t xml:space="preserve">For semi-static 2-D bitmap indication, the </w:t>
      </w:r>
      <w:r>
        <w:rPr>
          <w:rFonts w:hint="eastAsia" w:eastAsia="Batang"/>
          <w:i/>
          <w:iCs w:val="0"/>
          <w:sz w:val="20"/>
          <w:lang w:val="en-US" w:eastAsia="zh-CN"/>
        </w:rPr>
        <w:t>indication bits are allocated to each time domain occasion uniformly no matter whether the occasion contains cancelation resource or not</w:t>
      </w:r>
      <w:r>
        <w:rPr>
          <w:rFonts w:hint="eastAsia"/>
          <w:bCs/>
          <w:i/>
          <w:iCs w:val="0"/>
          <w:sz w:val="20"/>
          <w:szCs w:val="22"/>
          <w:lang w:val="en-US" w:eastAsia="zh-CN"/>
        </w:rPr>
        <w:t xml:space="preserve">, which may casue </w:t>
      </w:r>
      <w:r>
        <w:rPr>
          <w:rFonts w:hint="eastAsia" w:eastAsia="Times New Roman"/>
          <w:i/>
          <w:iCs w:val="0"/>
          <w:sz w:val="20"/>
          <w:lang w:val="en-US" w:eastAsia="zh-CN"/>
        </w:rPr>
        <w:t xml:space="preserve">false cancelation at a higher </w:t>
      </w:r>
      <w:r>
        <w:rPr>
          <w:rFonts w:hint="eastAsia" w:eastAsia="Times New Roman"/>
          <w:i/>
          <w:iCs/>
          <w:sz w:val="20"/>
          <w:lang w:val="en-US" w:eastAsia="zh-CN"/>
        </w:rPr>
        <w:t>probability</w:t>
      </w:r>
      <w:r>
        <w:rPr>
          <w:rFonts w:hint="eastAsia" w:eastAsia="Times New Roman"/>
          <w:sz w:val="20"/>
          <w:lang w:val="en-US" w:eastAsia="zh-CN"/>
        </w:rPr>
        <w:t xml:space="preserve">. </w:t>
      </w:r>
      <w:r>
        <w:rPr>
          <w:rFonts w:hint="eastAsia" w:eastAsia="Times New Roman"/>
          <w:i/>
          <w:iCs w:val="0"/>
          <w:sz w:val="20"/>
          <w:lang w:val="en-US" w:eastAsia="zh-CN"/>
        </w:rPr>
        <w:t xml:space="preserve"> </w:t>
      </w:r>
    </w:p>
    <w:p>
      <w:pPr>
        <w:pStyle w:val="71"/>
        <w:numPr>
          <w:ilvl w:val="2"/>
          <w:numId w:val="13"/>
        </w:numPr>
        <w:overflowPunct w:val="0"/>
        <w:autoSpaceDE w:val="0"/>
        <w:autoSpaceDN w:val="0"/>
        <w:adjustRightInd w:val="0"/>
        <w:snapToGrid w:val="0"/>
        <w:spacing w:beforeLines="50" w:afterLines="50" w:line="360" w:lineRule="auto"/>
        <w:ind w:left="780" w:hanging="720"/>
        <w:contextualSpacing/>
        <w:textAlignment w:val="baseline"/>
        <w:rPr>
          <w:rFonts w:eastAsia="宋体"/>
          <w:b/>
          <w:iCs/>
          <w:szCs w:val="22"/>
          <w:lang w:eastAsia="zh-CN"/>
        </w:rPr>
      </w:pPr>
      <w:r>
        <w:rPr>
          <w:rFonts w:hint="eastAsia" w:eastAsia="宋体"/>
          <w:b/>
          <w:iCs/>
          <w:szCs w:val="22"/>
          <w:lang w:eastAsia="zh-CN"/>
        </w:rPr>
        <w:t xml:space="preserve">Option </w:t>
      </w:r>
      <w:r>
        <w:rPr>
          <w:rFonts w:hint="eastAsia" w:eastAsia="宋体"/>
          <w:b/>
          <w:iCs/>
          <w:szCs w:val="22"/>
          <w:lang w:val="en-US" w:eastAsia="zh-CN"/>
        </w:rPr>
        <w:t xml:space="preserve">2: </w:t>
      </w:r>
      <w:r>
        <w:rPr>
          <w:rFonts w:eastAsia="宋体"/>
          <w:b/>
          <w:iCs/>
          <w:szCs w:val="22"/>
          <w:lang w:eastAsia="zh-CN"/>
        </w:rPr>
        <w:t>Dynamic</w:t>
      </w:r>
      <w:r>
        <w:rPr>
          <w:rFonts w:hint="eastAsia" w:eastAsia="宋体"/>
          <w:b/>
          <w:iCs/>
          <w:szCs w:val="22"/>
          <w:lang w:eastAsia="zh-CN"/>
        </w:rPr>
        <w:t xml:space="preserve"> 2-D bitmap indication</w:t>
      </w:r>
    </w:p>
    <w:p>
      <w:pPr>
        <w:pStyle w:val="71"/>
        <w:numPr>
          <w:ilvl w:val="0"/>
          <w:numId w:val="0"/>
        </w:numPr>
        <w:overflowPunct w:val="0"/>
        <w:autoSpaceDE w:val="0"/>
        <w:autoSpaceDN w:val="0"/>
        <w:adjustRightInd w:val="0"/>
        <w:snapToGrid w:val="0"/>
        <w:spacing w:beforeLines="50" w:afterLines="50"/>
        <w:ind w:left="62"/>
        <w:contextualSpacing/>
        <w:textAlignment w:val="baseline"/>
        <w:rPr>
          <w:rFonts w:eastAsia="宋体"/>
          <w:bCs/>
          <w:iCs/>
          <w:sz w:val="20"/>
          <w:lang w:val="en-US" w:eastAsia="zh-CN"/>
        </w:rPr>
      </w:pPr>
      <w:r>
        <w:rPr>
          <w:rFonts w:hint="eastAsia" w:eastAsia="宋体"/>
          <w:b w:val="0"/>
          <w:bCs/>
          <w:iCs/>
          <w:szCs w:val="22"/>
          <w:lang w:val="en-US" w:eastAsia="zh-CN"/>
        </w:rPr>
        <w:t xml:space="preserve">Instead of using the indication bits to indicate the frequency resource occupation </w:t>
      </w:r>
      <w:r>
        <w:rPr>
          <w:rFonts w:hint="eastAsia" w:eastAsia="Batang"/>
          <w:i w:val="0"/>
          <w:iCs/>
          <w:sz w:val="20"/>
          <w:lang w:val="en-US" w:eastAsia="zh-CN"/>
        </w:rPr>
        <w:t xml:space="preserve">uniformly </w:t>
      </w:r>
      <w:r>
        <w:rPr>
          <w:rFonts w:hint="eastAsia" w:eastAsia="宋体"/>
          <w:b w:val="0"/>
          <w:bCs/>
          <w:iCs/>
          <w:szCs w:val="22"/>
          <w:lang w:val="en-US" w:eastAsia="zh-CN"/>
        </w:rPr>
        <w:t xml:space="preserve">for all time domain occasion, only the time domain occasions </w:t>
      </w:r>
      <w:r>
        <w:rPr>
          <w:rFonts w:hint="eastAsia" w:eastAsia="Batang"/>
          <w:sz w:val="20"/>
          <w:szCs w:val="22"/>
          <w:lang w:val="en-US" w:eastAsia="zh-CN"/>
        </w:rPr>
        <w:t>occupied by URLLC PUSCH is valid for further frequency indication in Option 2. Thus, the occupied t</w:t>
      </w:r>
      <w:r>
        <w:rPr>
          <w:rFonts w:hint="eastAsia" w:eastAsia="宋体"/>
          <w:bCs/>
          <w:iCs/>
          <w:sz w:val="20"/>
          <w:lang w:val="en-US" w:eastAsia="zh-CN"/>
        </w:rPr>
        <w:t xml:space="preserve">ime domain occasions are indicated firstly, and the time-frequency resource corresponding to the occupied time domain occasions is indicated by a 2-D bitmap in option 2. </w:t>
      </w:r>
    </w:p>
    <w:p>
      <w:pPr>
        <w:numPr>
          <w:ilvl w:val="0"/>
          <w:numId w:val="14"/>
        </w:numPr>
        <w:snapToGrid w:val="0"/>
        <w:spacing w:afterLines="50"/>
        <w:ind w:left="420" w:hanging="420"/>
        <w:rPr>
          <w:rFonts w:eastAsia="Batang"/>
          <w:sz w:val="20"/>
          <w:szCs w:val="22"/>
          <w:lang w:val="en-US" w:eastAsia="zh-CN"/>
        </w:rPr>
      </w:pPr>
      <w:r>
        <w:rPr>
          <w:rFonts w:hint="eastAsia" w:eastAsia="Batang"/>
          <w:sz w:val="20"/>
          <w:szCs w:val="22"/>
          <w:lang w:val="en-US" w:eastAsia="zh-CN"/>
        </w:rPr>
        <w:t xml:space="preserve"> M bits are used for indicating which time domain </w:t>
      </w:r>
      <w:r>
        <w:rPr>
          <w:rFonts w:hint="eastAsia" w:eastAsia="宋体"/>
          <w:b w:val="0"/>
          <w:bCs/>
          <w:iCs/>
          <w:sz w:val="20"/>
          <w:szCs w:val="18"/>
          <w:lang w:val="en-US" w:eastAsia="zh-CN"/>
        </w:rPr>
        <w:t>occasions is occupied</w:t>
      </w:r>
      <w:r>
        <w:rPr>
          <w:rFonts w:hint="eastAsia" w:eastAsia="Batang"/>
          <w:sz w:val="20"/>
          <w:szCs w:val="22"/>
          <w:lang w:val="en-US" w:eastAsia="zh-CN"/>
        </w:rPr>
        <w:t xml:space="preserve">, where </w:t>
      </w:r>
      <w:r>
        <w:rPr>
          <w:rFonts w:hint="default" w:eastAsia="Batang"/>
          <w:sz w:val="20"/>
          <w:szCs w:val="22"/>
          <w:lang w:val="en-US" w:eastAsia="zh-CN"/>
        </w:rPr>
        <w:t>‘</w:t>
      </w:r>
      <w:r>
        <w:rPr>
          <w:rFonts w:hint="eastAsia" w:eastAsia="Batang"/>
          <w:sz w:val="20"/>
          <w:szCs w:val="22"/>
          <w:lang w:val="en-US" w:eastAsia="zh-CN"/>
        </w:rPr>
        <w:t>M</w:t>
      </w:r>
      <w:r>
        <w:rPr>
          <w:rFonts w:hint="default" w:eastAsia="Batang"/>
          <w:sz w:val="20"/>
          <w:szCs w:val="22"/>
          <w:lang w:val="en-US" w:eastAsia="zh-CN"/>
        </w:rPr>
        <w:t>’</w:t>
      </w:r>
      <w:r>
        <w:rPr>
          <w:rFonts w:hint="eastAsia" w:eastAsia="Batang"/>
          <w:sz w:val="20"/>
          <w:szCs w:val="22"/>
          <w:lang w:val="en-US" w:eastAsia="zh-CN"/>
        </w:rPr>
        <w:t xml:space="preserve"> equals to number of occasions in time domain. </w:t>
      </w:r>
    </w:p>
    <w:p>
      <w:pPr>
        <w:numPr>
          <w:ilvl w:val="0"/>
          <w:numId w:val="14"/>
        </w:numPr>
        <w:snapToGrid w:val="0"/>
        <w:spacing w:afterLines="50"/>
        <w:ind w:left="420" w:hanging="420"/>
        <w:rPr>
          <w:rFonts w:eastAsia="Batang"/>
          <w:sz w:val="20"/>
          <w:szCs w:val="22"/>
          <w:lang w:val="en-US" w:eastAsia="zh-CN"/>
        </w:rPr>
      </w:pPr>
      <w:r>
        <w:rPr>
          <w:rFonts w:hint="eastAsia" w:eastAsia="宋体"/>
          <w:b/>
          <w:bCs/>
          <w:lang w:val="en-US" w:eastAsia="zh-CN"/>
        </w:rPr>
        <w:t>C</w:t>
      </w:r>
      <w:r>
        <w:rPr>
          <w:rFonts w:hint="eastAsia" w:eastAsia="宋体"/>
          <w:vertAlign w:val="subscript"/>
          <w:lang w:val="en-US" w:eastAsia="zh-CN"/>
        </w:rPr>
        <w:t>m</w:t>
      </w:r>
      <w:r>
        <w:rPr>
          <w:vertAlign w:val="subscript"/>
        </w:rPr>
        <w:t>×</w:t>
      </w:r>
      <w:r>
        <w:rPr>
          <w:rFonts w:hint="eastAsia" w:eastAsia="宋体"/>
          <w:vertAlign w:val="subscript"/>
          <w:lang w:val="en-US" w:eastAsia="zh-CN"/>
        </w:rPr>
        <w:t>n</w:t>
      </w:r>
      <w:r>
        <w:rPr>
          <w:rFonts w:hint="eastAsia" w:eastAsia="Batang"/>
          <w:sz w:val="20"/>
          <w:szCs w:val="22"/>
          <w:lang w:val="en-US" w:eastAsia="zh-CN"/>
        </w:rPr>
        <w:t xml:space="preserve"> is 2-D bitmap for frequency domain indication, </w:t>
      </w:r>
      <w:r>
        <w:rPr>
          <w:rFonts w:hint="eastAsia" w:eastAsia="Batang"/>
          <w:sz w:val="20"/>
          <w:lang w:val="en-US" w:eastAsia="zh-CN"/>
        </w:rPr>
        <w:t xml:space="preserve">i.e., the occupied time domain occasions are divided into </w:t>
      </w:r>
      <w:r>
        <w:rPr>
          <w:rFonts w:hint="default" w:eastAsia="Batang"/>
          <w:sz w:val="20"/>
          <w:lang w:val="en-US" w:eastAsia="zh-CN"/>
        </w:rPr>
        <w:t>‘</w:t>
      </w:r>
      <w:r>
        <w:rPr>
          <w:rFonts w:hint="eastAsia" w:eastAsia="Batang"/>
          <w:sz w:val="20"/>
          <w:szCs w:val="22"/>
          <w:lang w:val="en-US" w:eastAsia="zh-CN"/>
        </w:rPr>
        <w:t>m</w:t>
      </w:r>
      <w:r>
        <w:rPr>
          <w:rFonts w:hint="eastAsia" w:ascii="Times New Roman" w:hAnsi="Times New Roman" w:eastAsia="Batang" w:cs="Times New Roman"/>
          <w:sz w:val="20"/>
          <w:szCs w:val="22"/>
          <w:lang w:val="en-US" w:eastAsia="zh-CN"/>
        </w:rPr>
        <w:t>×n</w:t>
      </w:r>
      <w:r>
        <w:rPr>
          <w:rFonts w:hint="default" w:eastAsia="Batang" w:cs="Times New Roman"/>
          <w:sz w:val="20"/>
          <w:szCs w:val="22"/>
          <w:lang w:val="en-US" w:eastAsia="zh-CN"/>
        </w:rPr>
        <w:t>’</w:t>
      </w:r>
      <w:r>
        <w:rPr>
          <w:rFonts w:hint="eastAsia" w:eastAsia="Batang"/>
          <w:sz w:val="20"/>
          <w:szCs w:val="22"/>
          <w:lang w:val="en-US" w:eastAsia="zh-CN"/>
        </w:rPr>
        <w:t xml:space="preserve"> porti</w:t>
      </w:r>
      <w:r>
        <w:rPr>
          <w:rFonts w:hint="eastAsia" w:eastAsia="Batang"/>
          <w:sz w:val="20"/>
          <w:lang w:val="en-US" w:eastAsia="zh-CN"/>
        </w:rPr>
        <w:t xml:space="preserve">ons, each portion is indicated by a bit in the 2-D bitmap, </w:t>
      </w:r>
      <w:r>
        <w:rPr>
          <w:rFonts w:eastAsia="Batang"/>
          <w:sz w:val="20"/>
          <w:lang w:val="en-US" w:eastAsia="zh-CN"/>
        </w:rPr>
        <w:t>where</w:t>
      </w:r>
      <w:r>
        <w:rPr>
          <w:rFonts w:hint="eastAsia" w:eastAsia="Batang"/>
          <w:sz w:val="20"/>
          <w:lang w:val="en-US" w:eastAsia="zh-CN"/>
        </w:rPr>
        <w:t>in</w:t>
      </w:r>
      <w:r>
        <w:rPr>
          <w:rFonts w:eastAsia="Batang"/>
          <w:sz w:val="20"/>
          <w:lang w:val="en-US" w:eastAsia="zh-CN"/>
        </w:rPr>
        <w:t xml:space="preserve"> </w:t>
      </w:r>
      <w:r>
        <w:rPr>
          <w:rFonts w:hint="default" w:eastAsia="Batang"/>
          <w:sz w:val="20"/>
          <w:lang w:val="en-US" w:eastAsia="zh-CN"/>
        </w:rPr>
        <w:t>‘</w:t>
      </w:r>
      <w:r>
        <w:rPr>
          <w:rFonts w:hint="eastAsia" w:eastAsia="Batang"/>
          <w:sz w:val="20"/>
          <w:lang w:val="en-US" w:eastAsia="zh-CN"/>
        </w:rPr>
        <w:t>m</w:t>
      </w:r>
      <w:r>
        <w:rPr>
          <w:rFonts w:hint="default" w:eastAsia="Batang"/>
          <w:sz w:val="20"/>
          <w:lang w:val="en-US" w:eastAsia="zh-CN"/>
        </w:rPr>
        <w:t>’</w:t>
      </w:r>
      <w:r>
        <w:rPr>
          <w:rFonts w:eastAsia="Batang"/>
          <w:sz w:val="20"/>
          <w:lang w:val="en-US" w:eastAsia="zh-CN"/>
        </w:rPr>
        <w:t xml:space="preserve"> </w:t>
      </w:r>
      <w:r>
        <w:rPr>
          <w:rFonts w:hint="eastAsia" w:eastAsia="Batang"/>
          <w:sz w:val="20"/>
          <w:lang w:val="en-US" w:eastAsia="zh-CN"/>
        </w:rPr>
        <w:t>represents number of occupied time domain</w:t>
      </w:r>
      <w:r>
        <w:rPr>
          <w:rFonts w:eastAsia="Batang"/>
          <w:sz w:val="20"/>
          <w:lang w:val="en-US" w:eastAsia="zh-CN"/>
        </w:rPr>
        <w:t xml:space="preserve"> </w:t>
      </w:r>
      <w:r>
        <w:rPr>
          <w:rFonts w:hint="eastAsia" w:eastAsia="Batang"/>
          <w:sz w:val="20"/>
          <w:lang w:val="en-US" w:eastAsia="zh-CN"/>
        </w:rPr>
        <w:t xml:space="preserve">occasions and </w:t>
      </w:r>
      <w:r>
        <w:rPr>
          <w:rFonts w:hint="default" w:eastAsia="Batang"/>
          <w:sz w:val="20"/>
          <w:lang w:val="en-US" w:eastAsia="zh-CN"/>
        </w:rPr>
        <w:t>‘</w:t>
      </w:r>
      <w:r>
        <w:rPr>
          <w:rFonts w:hint="eastAsia" w:eastAsia="Batang"/>
          <w:sz w:val="20"/>
          <w:lang w:val="en-US" w:eastAsia="zh-CN"/>
        </w:rPr>
        <w:t>n</w:t>
      </w:r>
      <w:r>
        <w:rPr>
          <w:rFonts w:hint="default" w:eastAsia="Batang"/>
          <w:sz w:val="20"/>
          <w:lang w:val="en-US" w:eastAsia="zh-CN"/>
        </w:rPr>
        <w:t>’</w:t>
      </w:r>
      <w:r>
        <w:rPr>
          <w:rFonts w:eastAsia="Batang"/>
          <w:sz w:val="20"/>
          <w:lang w:val="en-US" w:eastAsia="zh-CN"/>
        </w:rPr>
        <w:t xml:space="preserve"> </w:t>
      </w:r>
      <w:r>
        <w:rPr>
          <w:rFonts w:hint="eastAsia" w:eastAsia="Batang"/>
          <w:sz w:val="20"/>
          <w:lang w:val="en-US" w:eastAsia="zh-CN"/>
        </w:rPr>
        <w:t>represents frequency domain granularity</w:t>
      </w:r>
      <w:r>
        <w:rPr>
          <w:rFonts w:eastAsia="Batang"/>
          <w:sz w:val="20"/>
          <w:lang w:val="en-US" w:eastAsia="zh-CN"/>
        </w:rPr>
        <w:t xml:space="preserve">. </w:t>
      </w:r>
      <w:r>
        <w:rPr>
          <w:rFonts w:hint="eastAsia" w:eastAsia="Batang"/>
          <w:sz w:val="20"/>
          <w:lang w:val="en-US" w:eastAsia="zh-CN"/>
        </w:rPr>
        <w:t>Both of them are determined according to the indication of M bits dynamically.</w:t>
      </w:r>
      <w:r>
        <w:rPr>
          <w:rFonts w:hint="eastAsia" w:eastAsia="Batang"/>
          <w:sz w:val="20"/>
          <w:szCs w:val="22"/>
          <w:vertAlign w:val="baseline"/>
          <w:lang w:val="en-US" w:eastAsia="zh-CN"/>
        </w:rPr>
        <w:t xml:space="preserve">. </w:t>
      </w:r>
    </w:p>
    <w:p>
      <w:pPr>
        <w:snapToGrid w:val="0"/>
        <w:spacing w:afterLines="50"/>
        <w:jc w:val="center"/>
      </w:pPr>
      <w:r>
        <w:rPr>
          <w:rFonts w:hint="default" w:eastAsia="Times New Roman"/>
          <w:sz w:val="21"/>
        </w:rPr>
        <w:object>
          <v:shape id="_x0000_i1026" o:spt="75" type="#_x0000_t75" style="height:154.2pt;width:413.85pt;" o:ole="t" filled="f" o:preferrelative="t" stroked="f" coordsize="21600,21600">
            <v:path/>
            <v:fill on="f" alignshape="1" focussize="0,0"/>
            <v:stroke on="f"/>
            <v:imagedata r:id="rId7" grayscale="f" bilevel="f" o:title=""/>
            <o:lock v:ext="edit" aspectratio="t"/>
            <w10:wrap type="none"/>
            <w10:anchorlock/>
          </v:shape>
          <o:OLEObject Type="Embed" ProgID="Visio.Drawing.11" ShapeID="_x0000_i1026" DrawAspect="Content" ObjectID="_1468075726" r:id="rId6">
            <o:LockedField>false</o:LockedField>
          </o:OLEObject>
        </w:object>
      </w:r>
    </w:p>
    <w:p>
      <w:pPr>
        <w:snapToGrid w:val="0"/>
        <w:spacing w:afterLines="50"/>
        <w:jc w:val="center"/>
        <w:rPr>
          <w:rFonts w:eastAsiaTheme="minorEastAsia"/>
          <w:sz w:val="20"/>
          <w:szCs w:val="22"/>
          <w:lang w:val="en-US" w:eastAsia="zh-CN"/>
        </w:rPr>
      </w:pPr>
      <w:r>
        <w:rPr>
          <w:b/>
          <w:sz w:val="20"/>
          <w:szCs w:val="22"/>
          <w:lang w:val="en-US" w:eastAsia="zh-CN"/>
        </w:rPr>
        <w:t>Fig</w:t>
      </w:r>
      <w:r>
        <w:rPr>
          <w:rFonts w:hint="eastAsia"/>
          <w:b/>
          <w:sz w:val="20"/>
          <w:szCs w:val="22"/>
          <w:lang w:val="en-US" w:eastAsia="zh-CN"/>
        </w:rPr>
        <w:t>u</w:t>
      </w:r>
      <w:r>
        <w:rPr>
          <w:rFonts w:hint="eastAsia" w:eastAsiaTheme="minorEastAsia"/>
          <w:b/>
          <w:sz w:val="20"/>
          <w:szCs w:val="22"/>
          <w:lang w:val="en-US" w:eastAsia="zh-CN"/>
        </w:rPr>
        <w:t>re-2 Resource indicated by dynamic 2-D bitmap indication</w:t>
      </w:r>
    </w:p>
    <w:p>
      <w:pPr>
        <w:snapToGrid w:val="0"/>
        <w:spacing w:afterLines="50"/>
        <w:rPr>
          <w:rFonts w:eastAsia="宋体"/>
          <w:sz w:val="20"/>
          <w:lang w:val="en-US" w:eastAsia="zh-CN"/>
        </w:rPr>
      </w:pPr>
      <w:r>
        <w:rPr>
          <w:rFonts w:hint="eastAsia" w:eastAsia="Batang"/>
          <w:sz w:val="20"/>
          <w:szCs w:val="22"/>
          <w:lang w:val="en-US" w:eastAsia="zh-CN"/>
        </w:rPr>
        <w:t>The overhead of this option is M+m</w:t>
      </w:r>
      <w:r>
        <w:rPr>
          <w:sz w:val="20"/>
        </w:rPr>
        <w:t>×</w:t>
      </w:r>
      <w:r>
        <w:rPr>
          <w:rFonts w:hint="eastAsia" w:eastAsia="宋体"/>
          <w:sz w:val="20"/>
          <w:lang w:val="en-US" w:eastAsia="zh-CN"/>
        </w:rPr>
        <w:t xml:space="preserve">n. Under the example </w:t>
      </w:r>
      <w:r>
        <w:rPr>
          <w:rFonts w:hint="eastAsia" w:eastAsia="Times New Roman"/>
          <w:sz w:val="20"/>
          <w:szCs w:val="22"/>
          <w:lang w:val="en-US" w:eastAsia="zh-CN"/>
        </w:rPr>
        <w:t xml:space="preserve">shown in Figure-2, </w:t>
      </w:r>
      <w:r>
        <w:rPr>
          <w:rFonts w:hint="eastAsia" w:eastAsia="Batang"/>
          <w:sz w:val="20"/>
          <w:szCs w:val="22"/>
          <w:lang w:val="en-US" w:eastAsia="zh-CN"/>
        </w:rPr>
        <w:t>M=7, n=10 and m=2, then the total bit-number is 7+2</w:t>
      </w:r>
      <w:r>
        <w:rPr>
          <w:sz w:val="20"/>
        </w:rPr>
        <w:t>×</w:t>
      </w:r>
      <w:r>
        <w:rPr>
          <w:rFonts w:hint="eastAsia" w:eastAsia="宋体"/>
          <w:sz w:val="20"/>
          <w:lang w:val="en-US" w:eastAsia="zh-CN"/>
        </w:rPr>
        <w:t xml:space="preserve">10=27. </w:t>
      </w:r>
      <w:r>
        <w:rPr>
          <w:rFonts w:hint="eastAsia" w:eastAsia="Times New Roman"/>
          <w:sz w:val="20"/>
          <w:szCs w:val="22"/>
          <w:lang w:val="en-US" w:eastAsia="zh-CN"/>
        </w:rPr>
        <w:t>Compared with option 1, this method</w:t>
      </w:r>
      <w:r>
        <w:rPr>
          <w:rFonts w:hint="eastAsia" w:eastAsia="宋体"/>
          <w:sz w:val="20"/>
          <w:lang w:val="en-US" w:eastAsia="zh-CN"/>
        </w:rPr>
        <w:t xml:space="preserve"> can make the frequency domain indication granularity finer </w:t>
      </w:r>
      <w:r>
        <w:rPr>
          <w:rFonts w:hint="eastAsia" w:eastAsia="宋体"/>
          <w:i w:val="0"/>
          <w:sz w:val="20"/>
          <w:szCs w:val="22"/>
          <w:lang w:val="en-US" w:eastAsia="zh-CN"/>
        </w:rPr>
        <w:t>even with less number of bits (27bits vs 28bits)</w:t>
      </w:r>
      <w:r>
        <w:rPr>
          <w:rFonts w:hint="eastAsia" w:eastAsia="宋体"/>
          <w:sz w:val="20"/>
          <w:lang w:val="en-US" w:eastAsia="zh-CN"/>
        </w:rPr>
        <w:t xml:space="preserve">. This could reduce the false cancellation probability for a better protection of eMBB PUSCH. </w:t>
      </w:r>
      <w:r>
        <w:rPr>
          <w:rFonts w:hint="eastAsia" w:eastAsia="Batang"/>
          <w:sz w:val="20"/>
          <w:szCs w:val="22"/>
          <w:lang w:val="en-US" w:eastAsia="zh-CN"/>
        </w:rPr>
        <w:t xml:space="preserve">As shown in Table-1, as long as </w:t>
      </w:r>
      <w:r>
        <w:rPr>
          <w:rFonts w:eastAsia="Batang"/>
          <w:sz w:val="20"/>
          <w:szCs w:val="22"/>
          <w:lang w:val="en-US" w:eastAsia="zh-CN"/>
        </w:rPr>
        <w:t xml:space="preserve">the number of occupied </w:t>
      </w:r>
      <w:r>
        <w:rPr>
          <w:rFonts w:hint="eastAsia" w:eastAsia="Batang"/>
          <w:sz w:val="20"/>
          <w:szCs w:val="22"/>
          <w:lang w:val="en-US" w:eastAsia="zh-CN"/>
        </w:rPr>
        <w:t xml:space="preserve">time domain </w:t>
      </w:r>
      <w:r>
        <w:rPr>
          <w:rFonts w:eastAsia="Batang"/>
          <w:sz w:val="20"/>
          <w:szCs w:val="22"/>
          <w:lang w:val="en-US" w:eastAsia="zh-CN"/>
        </w:rPr>
        <w:t xml:space="preserve">occasions is </w:t>
      </w:r>
      <w:r>
        <w:rPr>
          <w:rFonts w:hint="eastAsia" w:eastAsia="Batang"/>
          <w:sz w:val="20"/>
          <w:szCs w:val="22"/>
          <w:lang w:val="en-US" w:eastAsia="zh-CN"/>
        </w:rPr>
        <w:t>no more</w:t>
      </w:r>
      <w:r>
        <w:rPr>
          <w:rFonts w:eastAsia="Batang"/>
          <w:sz w:val="20"/>
          <w:szCs w:val="22"/>
          <w:lang w:val="en-US" w:eastAsia="zh-CN"/>
        </w:rPr>
        <w:t xml:space="preserve"> than 5, the minimum</w:t>
      </w:r>
      <w:r>
        <w:rPr>
          <w:rFonts w:hint="eastAsia" w:eastAsia="Batang"/>
          <w:sz w:val="20"/>
          <w:szCs w:val="22"/>
          <w:lang w:val="en-US" w:eastAsia="zh-CN"/>
        </w:rPr>
        <w:t xml:space="preserve"> frequency domain</w:t>
      </w:r>
      <w:r>
        <w:rPr>
          <w:rFonts w:eastAsia="Batang"/>
          <w:sz w:val="20"/>
          <w:szCs w:val="22"/>
          <w:lang w:val="en-US" w:eastAsia="zh-CN"/>
        </w:rPr>
        <w:t xml:space="preserve"> indication granularity</w:t>
      </w:r>
      <w:r>
        <w:rPr>
          <w:rFonts w:hint="eastAsia" w:eastAsia="Batang"/>
          <w:sz w:val="20"/>
          <w:szCs w:val="22"/>
          <w:lang w:val="en-US" w:eastAsia="zh-CN"/>
        </w:rPr>
        <w:t xml:space="preserve"> for each time domain occasion</w:t>
      </w:r>
      <w:r>
        <w:rPr>
          <w:rFonts w:eastAsia="Batang"/>
          <w:sz w:val="20"/>
          <w:szCs w:val="22"/>
          <w:lang w:val="en-US" w:eastAsia="zh-CN"/>
        </w:rPr>
        <w:t xml:space="preserve"> of </w:t>
      </w:r>
      <w:r>
        <w:rPr>
          <w:rFonts w:hint="eastAsia" w:eastAsia="Batang"/>
          <w:sz w:val="20"/>
          <w:szCs w:val="22"/>
          <w:lang w:val="en-US" w:eastAsia="zh-CN"/>
        </w:rPr>
        <w:t>option</w:t>
      </w:r>
      <w:r>
        <w:rPr>
          <w:rFonts w:eastAsia="Batang"/>
          <w:sz w:val="20"/>
          <w:szCs w:val="22"/>
          <w:lang w:val="en-US" w:eastAsia="zh-CN"/>
        </w:rPr>
        <w:t xml:space="preserve"> </w:t>
      </w:r>
      <w:r>
        <w:rPr>
          <w:rFonts w:hint="eastAsia" w:eastAsia="Batang"/>
          <w:sz w:val="20"/>
          <w:szCs w:val="22"/>
          <w:lang w:val="en-US" w:eastAsia="zh-CN"/>
        </w:rPr>
        <w:t>2</w:t>
      </w:r>
      <w:r>
        <w:rPr>
          <w:rFonts w:eastAsia="Batang"/>
          <w:sz w:val="20"/>
          <w:szCs w:val="22"/>
          <w:lang w:val="en-US" w:eastAsia="zh-CN"/>
        </w:rPr>
        <w:t xml:space="preserve"> is </w:t>
      </w:r>
      <w:r>
        <w:rPr>
          <w:rFonts w:hint="eastAsia" w:eastAsia="Batang"/>
          <w:sz w:val="20"/>
          <w:szCs w:val="22"/>
          <w:lang w:val="en-US" w:eastAsia="zh-CN"/>
        </w:rPr>
        <w:t xml:space="preserve">finer </w:t>
      </w:r>
      <w:r>
        <w:rPr>
          <w:rFonts w:eastAsia="Batang"/>
          <w:sz w:val="20"/>
          <w:szCs w:val="22"/>
          <w:lang w:val="en-US" w:eastAsia="zh-CN"/>
        </w:rPr>
        <w:t xml:space="preserve">than that of </w:t>
      </w:r>
      <w:r>
        <w:rPr>
          <w:rFonts w:hint="eastAsia" w:eastAsia="Batang"/>
          <w:sz w:val="20"/>
          <w:szCs w:val="22"/>
          <w:lang w:val="en-US" w:eastAsia="zh-CN"/>
        </w:rPr>
        <w:t>option 1</w:t>
      </w:r>
      <w:r>
        <w:rPr>
          <w:rFonts w:eastAsia="Batang"/>
          <w:sz w:val="20"/>
          <w:szCs w:val="22"/>
          <w:lang w:val="en-US" w:eastAsia="zh-CN"/>
        </w:rPr>
        <w:t>.</w:t>
      </w:r>
      <w:r>
        <w:rPr>
          <w:rFonts w:hint="eastAsia" w:eastAsia="Batang"/>
          <w:sz w:val="20"/>
          <w:szCs w:val="22"/>
          <w:lang w:val="en-US" w:eastAsia="zh-CN"/>
        </w:rPr>
        <w:t xml:space="preserve"> </w:t>
      </w:r>
    </w:p>
    <w:p>
      <w:pPr>
        <w:snapToGrid w:val="0"/>
        <w:spacing w:afterLines="50"/>
        <w:jc w:val="center"/>
        <w:rPr>
          <w:rFonts w:eastAsiaTheme="minorEastAsia"/>
          <w:sz w:val="20"/>
          <w:lang w:val="en-US" w:eastAsia="zh-CN"/>
        </w:rPr>
      </w:pPr>
      <w:r>
        <w:rPr>
          <w:rFonts w:hint="eastAsia"/>
          <w:b/>
          <w:sz w:val="20"/>
          <w:szCs w:val="22"/>
          <w:lang w:val="en-US" w:eastAsia="zh-CN"/>
        </w:rPr>
        <w:t>Table</w:t>
      </w:r>
      <w:r>
        <w:rPr>
          <w:rFonts w:hint="eastAsia" w:eastAsiaTheme="minorEastAsia"/>
          <w:b/>
          <w:sz w:val="20"/>
          <w:szCs w:val="22"/>
          <w:lang w:val="en-US" w:eastAsia="zh-CN"/>
        </w:rPr>
        <w:t xml:space="preserve">-1 </w:t>
      </w:r>
      <w:r>
        <w:rPr>
          <w:rFonts w:eastAsiaTheme="minorEastAsia"/>
          <w:b/>
          <w:sz w:val="20"/>
          <w:szCs w:val="22"/>
          <w:lang w:val="en-US" w:eastAsia="zh-CN"/>
        </w:rPr>
        <w:t>Minimum indication granularity</w:t>
      </w:r>
      <w:r>
        <w:rPr>
          <w:rFonts w:hint="eastAsia" w:eastAsiaTheme="minorEastAsia"/>
          <w:b/>
          <w:sz w:val="20"/>
          <w:szCs w:val="22"/>
          <w:lang w:val="en-US" w:eastAsia="zh-CN"/>
        </w:rPr>
        <w:t xml:space="preserve"> with different n</w:t>
      </w:r>
      <w:r>
        <w:rPr>
          <w:rFonts w:eastAsiaTheme="minorEastAsia"/>
          <w:b/>
          <w:sz w:val="20"/>
          <w:szCs w:val="22"/>
          <w:lang w:val="en-US" w:eastAsia="zh-CN"/>
        </w:rPr>
        <w:t>umber of the occupied time domain occasions</w:t>
      </w:r>
    </w:p>
    <w:tbl>
      <w:tblPr>
        <w:tblStyle w:val="53"/>
        <w:tblW w:w="85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2306"/>
        <w:gridCol w:w="645"/>
        <w:gridCol w:w="700"/>
        <w:gridCol w:w="563"/>
        <w:gridCol w:w="636"/>
        <w:gridCol w:w="636"/>
        <w:gridCol w:w="636"/>
        <w:gridCol w:w="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76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outlineLvl w:val="9"/>
              <w:rPr>
                <w:rFonts w:eastAsia="宋体"/>
                <w:b/>
                <w:bCs/>
                <w:sz w:val="20"/>
                <w:szCs w:val="22"/>
                <w:lang w:val="en-US" w:eastAsia="zh-CN"/>
              </w:rPr>
            </w:pPr>
            <w:r>
              <w:rPr>
                <w:rFonts w:eastAsia="宋体"/>
                <w:b/>
                <w:bCs/>
                <w:sz w:val="20"/>
                <w:szCs w:val="22"/>
                <w:lang w:val="en-US" w:eastAsia="zh-CN"/>
              </w:rPr>
              <w:t>Semi-static 2-D bitmap indication</w:t>
            </w:r>
          </w:p>
        </w:tc>
        <w:tc>
          <w:tcPr>
            <w:tcW w:w="23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b w:val="0"/>
                <w:bCs w:val="0"/>
                <w:sz w:val="20"/>
                <w:szCs w:val="22"/>
                <w:lang w:val="en-US" w:eastAsia="zh-CN"/>
              </w:rPr>
            </w:pPr>
            <w:r>
              <w:rPr>
                <w:rFonts w:eastAsia="宋体"/>
                <w:b w:val="0"/>
                <w:bCs w:val="0"/>
                <w:iCs w:val="0"/>
                <w:sz w:val="18"/>
                <w:szCs w:val="18"/>
                <w:lang w:val="en-US" w:eastAsia="zh-CN"/>
              </w:rPr>
              <w:t>Number of the occupied time domain occasions</w:t>
            </w:r>
          </w:p>
        </w:tc>
        <w:tc>
          <w:tcPr>
            <w:tcW w:w="4457" w:type="dxa"/>
            <w:gridSpan w:val="7"/>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eastAsia="宋体"/>
                <w:sz w:val="20"/>
                <w:szCs w:val="22"/>
                <w:lang w:val="en-US" w:eastAsia="zh-CN"/>
              </w:rPr>
              <w:t>1</w:t>
            </w:r>
            <w:r>
              <w:rPr>
                <w:rFonts w:hint="eastAsia" w:eastAsia="宋体"/>
                <w:sz w:val="20"/>
                <w:szCs w:val="22"/>
                <w:lang w:val="en-US" w:eastAsia="zh-CN"/>
              </w:rPr>
              <w:t>~</w:t>
            </w:r>
            <w:r>
              <w:rPr>
                <w:rFonts w:eastAsia="宋体"/>
                <w:sz w:val="20"/>
                <w:szCs w:val="22"/>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76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outlineLvl w:val="9"/>
              <w:rPr>
                <w:rFonts w:eastAsia="宋体"/>
                <w:b/>
                <w:bCs/>
                <w:sz w:val="20"/>
                <w:szCs w:val="22"/>
                <w:lang w:val="en-US" w:eastAsia="zh-CN"/>
              </w:rPr>
            </w:pPr>
          </w:p>
        </w:tc>
        <w:tc>
          <w:tcPr>
            <w:tcW w:w="23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b w:val="0"/>
                <w:bCs w:val="0"/>
                <w:sz w:val="20"/>
                <w:szCs w:val="22"/>
                <w:lang w:val="en-US" w:eastAsia="zh-CN"/>
              </w:rPr>
            </w:pPr>
            <w:r>
              <w:rPr>
                <w:rFonts w:hint="eastAsia" w:eastAsia="宋体"/>
                <w:b w:val="0"/>
                <w:bCs w:val="0"/>
                <w:sz w:val="18"/>
                <w:szCs w:val="18"/>
                <w:lang w:val="en-US" w:eastAsia="zh-CN"/>
              </w:rPr>
              <w:t xml:space="preserve">Frequency </w:t>
            </w:r>
            <w:r>
              <w:rPr>
                <w:rFonts w:eastAsia="宋体"/>
                <w:b w:val="0"/>
                <w:bCs w:val="0"/>
                <w:sz w:val="18"/>
                <w:szCs w:val="18"/>
                <w:lang w:val="en-US" w:eastAsia="zh-CN"/>
              </w:rPr>
              <w:t>indication granularity</w:t>
            </w:r>
          </w:p>
        </w:tc>
        <w:tc>
          <w:tcPr>
            <w:tcW w:w="4457" w:type="dxa"/>
            <w:gridSpan w:val="7"/>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7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outlineLvl w:val="9"/>
              <w:rPr>
                <w:rFonts w:eastAsia="宋体"/>
                <w:b/>
                <w:bCs/>
                <w:sz w:val="20"/>
                <w:szCs w:val="22"/>
                <w:lang w:val="en-US" w:eastAsia="zh-CN"/>
              </w:rPr>
            </w:pPr>
            <w:r>
              <w:rPr>
                <w:rFonts w:eastAsia="宋体"/>
                <w:b/>
                <w:bCs/>
                <w:sz w:val="20"/>
                <w:szCs w:val="22"/>
                <w:lang w:val="en-US" w:eastAsia="zh-CN"/>
              </w:rPr>
              <w:t>Dynamic 2-D bitmap indication</w:t>
            </w:r>
          </w:p>
        </w:tc>
        <w:tc>
          <w:tcPr>
            <w:tcW w:w="23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b w:val="0"/>
                <w:bCs w:val="0"/>
                <w:sz w:val="20"/>
                <w:szCs w:val="22"/>
                <w:lang w:val="en-US" w:eastAsia="zh-CN"/>
              </w:rPr>
            </w:pPr>
            <w:r>
              <w:rPr>
                <w:rFonts w:eastAsia="宋体"/>
                <w:b w:val="0"/>
                <w:bCs w:val="0"/>
                <w:iCs w:val="0"/>
                <w:sz w:val="18"/>
                <w:szCs w:val="18"/>
                <w:lang w:val="en-US" w:eastAsia="zh-CN"/>
              </w:rPr>
              <w:t>Number of the occupied time domain occasions</w:t>
            </w:r>
          </w:p>
        </w:tc>
        <w:tc>
          <w:tcPr>
            <w:tcW w:w="645"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1</w:t>
            </w:r>
          </w:p>
        </w:tc>
        <w:tc>
          <w:tcPr>
            <w:tcW w:w="700"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2</w:t>
            </w:r>
          </w:p>
        </w:tc>
        <w:tc>
          <w:tcPr>
            <w:tcW w:w="563"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3</w:t>
            </w:r>
          </w:p>
        </w:tc>
        <w:tc>
          <w:tcPr>
            <w:tcW w:w="636"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4</w:t>
            </w:r>
          </w:p>
        </w:tc>
        <w:tc>
          <w:tcPr>
            <w:tcW w:w="636"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5</w:t>
            </w:r>
          </w:p>
        </w:tc>
        <w:tc>
          <w:tcPr>
            <w:tcW w:w="636"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6</w:t>
            </w:r>
          </w:p>
        </w:tc>
        <w:tc>
          <w:tcPr>
            <w:tcW w:w="641"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76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jc w:val="center"/>
              <w:textAlignment w:val="auto"/>
              <w:outlineLvl w:val="9"/>
              <w:rPr>
                <w:rFonts w:eastAsia="宋体"/>
                <w:b w:val="0"/>
                <w:bCs w:val="0"/>
                <w:sz w:val="20"/>
                <w:lang w:val="en-US" w:eastAsia="zh-CN"/>
              </w:rPr>
            </w:pPr>
          </w:p>
        </w:tc>
        <w:tc>
          <w:tcPr>
            <w:tcW w:w="23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b w:val="0"/>
                <w:bCs w:val="0"/>
                <w:sz w:val="20"/>
                <w:szCs w:val="22"/>
                <w:lang w:val="en-US" w:eastAsia="zh-CN"/>
              </w:rPr>
            </w:pPr>
            <w:r>
              <w:rPr>
                <w:rFonts w:hint="eastAsia" w:eastAsia="宋体"/>
                <w:b w:val="0"/>
                <w:bCs w:val="0"/>
                <w:sz w:val="18"/>
                <w:szCs w:val="18"/>
                <w:lang w:val="en-US" w:eastAsia="zh-CN"/>
              </w:rPr>
              <w:t xml:space="preserve">Frequency </w:t>
            </w:r>
            <w:r>
              <w:rPr>
                <w:rFonts w:eastAsia="宋体"/>
                <w:b w:val="0"/>
                <w:bCs w:val="0"/>
                <w:sz w:val="18"/>
                <w:szCs w:val="18"/>
                <w:lang w:val="en-US" w:eastAsia="zh-CN"/>
              </w:rPr>
              <w:t>indication granularity</w:t>
            </w:r>
          </w:p>
        </w:tc>
        <w:tc>
          <w:tcPr>
            <w:tcW w:w="645" w:type="dxa"/>
            <w:tcBorders>
              <w:top w:val="single" w:color="auto" w:sz="4" w:space="0"/>
              <w:left w:val="single" w:color="auto" w:sz="4" w:space="0"/>
              <w:bottom w:val="single" w:color="auto" w:sz="4" w:space="0"/>
            </w:tcBorders>
            <w:shd w:val="clear" w:color="auto" w:fill="FFFF00"/>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1/21</w:t>
            </w:r>
          </w:p>
        </w:tc>
        <w:tc>
          <w:tcPr>
            <w:tcW w:w="700" w:type="dxa"/>
            <w:tcBorders>
              <w:top w:val="single" w:color="auto" w:sz="4" w:space="0"/>
              <w:left w:val="single" w:color="auto" w:sz="4" w:space="0"/>
              <w:bottom w:val="single" w:color="auto" w:sz="4" w:space="0"/>
            </w:tcBorders>
            <w:shd w:val="clear" w:color="auto" w:fill="FFFF00"/>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default" w:ascii="Arial" w:hAnsi="Arial" w:eastAsia="宋体" w:cs="Arial"/>
                <w:sz w:val="20"/>
                <w:szCs w:val="22"/>
                <w:lang w:val="en-US" w:eastAsia="zh-CN"/>
              </w:rPr>
              <w:t>≤</w:t>
            </w:r>
            <w:r>
              <w:rPr>
                <w:rFonts w:hint="eastAsia" w:eastAsia="宋体"/>
                <w:sz w:val="20"/>
                <w:szCs w:val="22"/>
                <w:lang w:val="en-US" w:eastAsia="zh-CN"/>
              </w:rPr>
              <w:t>1/10</w:t>
            </w:r>
          </w:p>
        </w:tc>
        <w:tc>
          <w:tcPr>
            <w:tcW w:w="563" w:type="dxa"/>
            <w:tcBorders>
              <w:top w:val="single" w:color="auto" w:sz="4" w:space="0"/>
              <w:left w:val="single" w:color="auto" w:sz="4" w:space="0"/>
              <w:bottom w:val="single" w:color="auto" w:sz="4" w:space="0"/>
            </w:tcBorders>
            <w:shd w:val="clear" w:color="auto" w:fill="FFFF00"/>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1/7</w:t>
            </w:r>
          </w:p>
        </w:tc>
        <w:tc>
          <w:tcPr>
            <w:tcW w:w="636" w:type="dxa"/>
            <w:tcBorders>
              <w:top w:val="single" w:color="auto" w:sz="4" w:space="0"/>
              <w:left w:val="single" w:color="auto" w:sz="4" w:space="0"/>
              <w:bottom w:val="single" w:color="auto" w:sz="4" w:space="0"/>
            </w:tcBorders>
            <w:shd w:val="clear" w:color="auto" w:fill="FFFF00"/>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default" w:ascii="Arial" w:hAnsi="Arial" w:eastAsia="宋体" w:cs="Arial"/>
                <w:sz w:val="20"/>
                <w:szCs w:val="22"/>
                <w:lang w:val="en-US" w:eastAsia="zh-CN"/>
              </w:rPr>
              <w:t>≤</w:t>
            </w:r>
            <w:r>
              <w:rPr>
                <w:rFonts w:hint="eastAsia" w:eastAsia="宋体"/>
                <w:sz w:val="20"/>
                <w:szCs w:val="22"/>
                <w:lang w:val="en-US" w:eastAsia="zh-CN"/>
              </w:rPr>
              <w:t>1/5</w:t>
            </w:r>
          </w:p>
        </w:tc>
        <w:tc>
          <w:tcPr>
            <w:tcW w:w="636" w:type="dxa"/>
            <w:tcBorders>
              <w:top w:val="single" w:color="auto" w:sz="4" w:space="0"/>
              <w:left w:val="single" w:color="auto" w:sz="4" w:space="0"/>
              <w:bottom w:val="single" w:color="auto" w:sz="4" w:space="0"/>
            </w:tcBorders>
            <w:shd w:val="clear" w:color="auto" w:fill="FFFF00"/>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highlight w:val="none"/>
                <w:lang w:val="en-US" w:eastAsia="zh-CN"/>
              </w:rPr>
            </w:pPr>
            <w:r>
              <w:rPr>
                <w:rFonts w:hint="default" w:ascii="Arial" w:hAnsi="Arial" w:eastAsia="宋体" w:cs="Arial"/>
                <w:sz w:val="20"/>
                <w:szCs w:val="22"/>
                <w:highlight w:val="none"/>
                <w:lang w:val="en-US" w:eastAsia="zh-CN"/>
              </w:rPr>
              <w:t>≤</w:t>
            </w:r>
            <w:r>
              <w:rPr>
                <w:rFonts w:hint="eastAsia" w:eastAsia="宋体"/>
                <w:sz w:val="20"/>
                <w:szCs w:val="22"/>
                <w:highlight w:val="none"/>
                <w:lang w:val="en-US" w:eastAsia="zh-CN"/>
              </w:rPr>
              <w:t>1/4</w:t>
            </w:r>
          </w:p>
        </w:tc>
        <w:tc>
          <w:tcPr>
            <w:tcW w:w="636"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default" w:ascii="Arial" w:hAnsi="Arial" w:eastAsia="宋体" w:cs="Arial"/>
                <w:sz w:val="20"/>
                <w:szCs w:val="22"/>
                <w:lang w:val="en-US" w:eastAsia="zh-CN"/>
              </w:rPr>
              <w:t>≤</w:t>
            </w:r>
            <w:r>
              <w:rPr>
                <w:rFonts w:hint="eastAsia" w:eastAsia="宋体"/>
                <w:sz w:val="20"/>
                <w:szCs w:val="22"/>
                <w:lang w:val="en-US" w:eastAsia="zh-CN"/>
              </w:rPr>
              <w:t>1/3</w:t>
            </w:r>
          </w:p>
        </w:tc>
        <w:tc>
          <w:tcPr>
            <w:tcW w:w="641" w:type="dxa"/>
            <w:tcBorders>
              <w:top w:val="single" w:color="auto" w:sz="4" w:space="0"/>
              <w:left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eastAsia="宋体"/>
                <w:sz w:val="20"/>
                <w:szCs w:val="22"/>
                <w:lang w:val="en-US" w:eastAsia="zh-CN"/>
              </w:rPr>
            </w:pPr>
            <w:r>
              <w:rPr>
                <w:rFonts w:hint="eastAsia" w:eastAsia="宋体"/>
                <w:sz w:val="20"/>
                <w:szCs w:val="22"/>
                <w:lang w:val="en-US" w:eastAsia="zh-CN"/>
              </w:rPr>
              <w:t>1/3</w:t>
            </w:r>
          </w:p>
        </w:tc>
      </w:tr>
    </w:tbl>
    <w:p>
      <w:pPr>
        <w:snapToGrid w:val="0"/>
        <w:spacing w:afterLines="50" w:line="276" w:lineRule="auto"/>
        <w:rPr>
          <w:b/>
          <w:i/>
          <w:sz w:val="20"/>
          <w:lang w:val="en-US" w:eastAsia="zh-CN"/>
        </w:rPr>
      </w:pPr>
    </w:p>
    <w:p>
      <w:pPr>
        <w:numPr>
          <w:ilvl w:val="255"/>
          <w:numId w:val="0"/>
        </w:numPr>
        <w:snapToGrid w:val="0"/>
        <w:spacing w:afterLines="50" w:line="276" w:lineRule="auto"/>
        <w:ind w:left="0" w:firstLine="0"/>
        <w:rPr>
          <w:bCs/>
          <w:i/>
          <w:sz w:val="20"/>
          <w:szCs w:val="22"/>
          <w:lang w:val="en-US" w:eastAsia="zh-CN"/>
        </w:rPr>
      </w:pPr>
      <w:r>
        <w:rPr>
          <w:b/>
          <w:i/>
          <w:sz w:val="20"/>
          <w:lang w:val="en-US" w:eastAsia="zh-CN"/>
        </w:rPr>
        <w:t xml:space="preserve">Observation </w:t>
      </w:r>
      <w:r>
        <w:rPr>
          <w:rFonts w:hint="eastAsia"/>
          <w:b/>
          <w:i/>
          <w:sz w:val="20"/>
          <w:lang w:val="en-US" w:eastAsia="zh-CN"/>
        </w:rPr>
        <w:t>2</w:t>
      </w:r>
      <w:r>
        <w:rPr>
          <w:b/>
          <w:i/>
          <w:sz w:val="20"/>
          <w:lang w:val="en-US" w:eastAsia="zh-CN"/>
        </w:rPr>
        <w:t>:</w:t>
      </w:r>
      <w:r>
        <w:rPr>
          <w:rFonts w:hint="eastAsia"/>
          <w:bCs/>
          <w:i/>
          <w:sz w:val="20"/>
          <w:szCs w:val="22"/>
          <w:lang w:val="en-US" w:eastAsia="zh-CN"/>
        </w:rPr>
        <w:t xml:space="preserve"> For the </w:t>
      </w:r>
      <w:r>
        <w:rPr>
          <w:bCs/>
          <w:i/>
          <w:sz w:val="20"/>
          <w:szCs w:val="22"/>
          <w:lang w:val="en-US" w:eastAsia="zh-CN"/>
        </w:rPr>
        <w:t>dynamic</w:t>
      </w:r>
      <w:r>
        <w:rPr>
          <w:rFonts w:hint="eastAsia"/>
          <w:bCs/>
          <w:i/>
          <w:sz w:val="20"/>
          <w:szCs w:val="22"/>
          <w:lang w:val="en-US" w:eastAsia="zh-CN"/>
        </w:rPr>
        <w:t xml:space="preserve"> 2-D bitmap, a finer frequency domain indication granularity can be expected in most of cases compared to s</w:t>
      </w:r>
      <w:r>
        <w:rPr>
          <w:bCs/>
          <w:i/>
          <w:sz w:val="20"/>
          <w:szCs w:val="22"/>
          <w:lang w:val="en-US" w:eastAsia="zh-CN"/>
        </w:rPr>
        <w:t>emi-static</w:t>
      </w:r>
      <w:r>
        <w:rPr>
          <w:rFonts w:hint="eastAsia"/>
          <w:bCs/>
          <w:i/>
          <w:sz w:val="20"/>
          <w:szCs w:val="22"/>
          <w:lang w:val="en-US" w:eastAsia="zh-CN"/>
        </w:rPr>
        <w:t xml:space="preserve"> 2-D bitmap.</w:t>
      </w:r>
    </w:p>
    <w:p>
      <w:pPr>
        <w:snapToGrid w:val="0"/>
        <w:spacing w:afterLines="50"/>
        <w:rPr>
          <w:rFonts w:eastAsia="Times New Roman"/>
          <w:sz w:val="20"/>
          <w:lang w:val="en-US" w:eastAsia="zh-CN"/>
        </w:rPr>
      </w:pPr>
      <w:r>
        <w:rPr>
          <w:rFonts w:eastAsia="Times New Roman"/>
          <w:sz w:val="20"/>
          <w:szCs w:val="22"/>
          <w:lang w:val="en-US" w:eastAsia="zh-CN"/>
        </w:rPr>
        <w:t xml:space="preserve">To compare </w:t>
      </w:r>
      <w:r>
        <w:rPr>
          <w:rFonts w:hint="eastAsia" w:eastAsia="Times New Roman"/>
          <w:sz w:val="20"/>
          <w:szCs w:val="22"/>
          <w:lang w:val="en-US" w:eastAsia="zh-CN"/>
        </w:rPr>
        <w:t xml:space="preserve">the above </w:t>
      </w:r>
      <w:r>
        <w:rPr>
          <w:rFonts w:hint="default" w:eastAsia="Times New Roman"/>
          <w:sz w:val="20"/>
          <w:szCs w:val="22"/>
          <w:lang w:val="en-US" w:eastAsia="zh-CN"/>
        </w:rPr>
        <w:t>option</w:t>
      </w:r>
      <w:r>
        <w:rPr>
          <w:rFonts w:hint="eastAsia" w:eastAsia="Times New Roman"/>
          <w:sz w:val="20"/>
          <w:szCs w:val="22"/>
          <w:lang w:val="en-US" w:eastAsia="zh-CN"/>
        </w:rPr>
        <w:t>s</w:t>
      </w:r>
      <w:r>
        <w:rPr>
          <w:rFonts w:hint="default" w:eastAsia="Times New Roman"/>
          <w:sz w:val="20"/>
          <w:szCs w:val="22"/>
          <w:lang w:val="en-US" w:eastAsia="zh-CN"/>
        </w:rPr>
        <w:t xml:space="preserve"> </w:t>
      </w:r>
      <w:r>
        <w:rPr>
          <w:rFonts w:hint="eastAsia" w:eastAsia="Times New Roman"/>
          <w:sz w:val="20"/>
          <w:szCs w:val="22"/>
          <w:lang w:val="en-US" w:eastAsia="zh-CN"/>
        </w:rPr>
        <w:t>under</w:t>
      </w:r>
      <w:r>
        <w:rPr>
          <w:rFonts w:hint="default" w:eastAsia="Times New Roman"/>
          <w:sz w:val="20"/>
          <w:szCs w:val="22"/>
          <w:lang w:val="en-US" w:eastAsia="zh-CN"/>
        </w:rPr>
        <w:t xml:space="preserve"> a </w:t>
      </w:r>
      <w:r>
        <w:rPr>
          <w:rFonts w:hint="default" w:ascii="Times New Roman" w:hAnsi="Times New Roman" w:eastAsia="Times New Roman" w:cs="Times New Roman"/>
          <w:b w:val="0"/>
          <w:i w:val="0"/>
          <w:caps w:val="0"/>
          <w:spacing w:val="0"/>
          <w:sz w:val="20"/>
          <w:szCs w:val="22"/>
          <w:shd w:val="clear"/>
          <w:lang w:val="en-US" w:eastAsia="zh-CN"/>
        </w:rPr>
        <w:t>typical scenario</w:t>
      </w:r>
      <w:r>
        <w:rPr>
          <w:rFonts w:eastAsia="Times New Roman"/>
          <w:sz w:val="20"/>
          <w:szCs w:val="22"/>
          <w:lang w:val="en-US" w:eastAsia="zh-CN"/>
        </w:rPr>
        <w:t xml:space="preserve">, </w:t>
      </w:r>
      <w:r>
        <w:rPr>
          <w:rFonts w:hint="eastAsia" w:eastAsia="Times New Roman"/>
          <w:sz w:val="20"/>
          <w:szCs w:val="22"/>
          <w:lang w:val="en-US" w:eastAsia="zh-CN"/>
        </w:rPr>
        <w:t>the percentage</w:t>
      </w:r>
      <w:r>
        <w:rPr>
          <w:rFonts w:hint="eastAsia" w:eastAsia="Times New Roman"/>
          <w:sz w:val="20"/>
          <w:lang w:val="en-US" w:eastAsia="zh-CN"/>
        </w:rPr>
        <w:t xml:space="preserve"> of </w:t>
      </w:r>
      <w:r>
        <w:rPr>
          <w:rFonts w:eastAsia="Times New Roman"/>
          <w:sz w:val="20"/>
          <w:szCs w:val="22"/>
          <w:lang w:val="en-US" w:eastAsia="zh-CN"/>
        </w:rPr>
        <w:t xml:space="preserve">number of </w:t>
      </w:r>
      <w:r>
        <w:rPr>
          <w:rFonts w:hint="eastAsia" w:eastAsia="Times New Roman"/>
          <w:sz w:val="20"/>
          <w:szCs w:val="22"/>
          <w:lang w:val="en-US" w:eastAsia="zh-CN"/>
        </w:rPr>
        <w:t xml:space="preserve">time domain </w:t>
      </w:r>
      <w:r>
        <w:rPr>
          <w:rFonts w:eastAsia="Times New Roman"/>
          <w:sz w:val="20"/>
          <w:szCs w:val="22"/>
          <w:lang w:val="en-US" w:eastAsia="zh-CN"/>
        </w:rPr>
        <w:t xml:space="preserve">occasions occupied by </w:t>
      </w:r>
      <w:r>
        <w:rPr>
          <w:rFonts w:hint="default" w:eastAsia="Times New Roman"/>
          <w:sz w:val="20"/>
          <w:szCs w:val="22"/>
          <w:lang w:val="en-US" w:eastAsia="zh-CN"/>
        </w:rPr>
        <w:t>URLLC</w:t>
      </w:r>
      <w:r>
        <w:rPr>
          <w:rFonts w:eastAsia="Times New Roman"/>
          <w:sz w:val="20"/>
          <w:szCs w:val="22"/>
          <w:lang w:val="en-US" w:eastAsia="zh-CN"/>
        </w:rPr>
        <w:t xml:space="preserve"> </w:t>
      </w:r>
      <w:r>
        <w:rPr>
          <w:rFonts w:hint="eastAsia" w:eastAsia="Times New Roman"/>
          <w:sz w:val="20"/>
          <w:szCs w:val="22"/>
          <w:lang w:val="en-US" w:eastAsia="zh-CN"/>
        </w:rPr>
        <w:t>per RUR among all occupied RURs</w:t>
      </w:r>
      <w:bookmarkStart w:id="8" w:name="OLE_LINK11"/>
      <w:r>
        <w:rPr>
          <w:rFonts w:hint="eastAsia" w:eastAsia="Times New Roman"/>
          <w:sz w:val="20"/>
          <w:szCs w:val="22"/>
          <w:lang w:val="en-US" w:eastAsia="zh-CN"/>
        </w:rPr>
        <w:t xml:space="preserve"> is </w:t>
      </w:r>
      <w:bookmarkEnd w:id="8"/>
      <w:r>
        <w:rPr>
          <w:rFonts w:hint="eastAsia" w:eastAsia="Times New Roman"/>
          <w:sz w:val="20"/>
          <w:lang w:val="en-US" w:eastAsia="zh-CN"/>
        </w:rPr>
        <w:t>evaluated via system-level simulation</w:t>
      </w:r>
      <w:r>
        <w:rPr>
          <w:rFonts w:eastAsia="Times New Roman"/>
          <w:sz w:val="20"/>
          <w:lang w:val="en-US" w:eastAsia="zh-CN"/>
        </w:rPr>
        <w:t>.</w:t>
      </w:r>
      <w:r>
        <w:rPr>
          <w:rFonts w:hint="eastAsia" w:eastAsia="Times New Roman"/>
          <w:sz w:val="20"/>
          <w:lang w:val="en-US" w:eastAsia="zh-CN"/>
        </w:rPr>
        <w:t xml:space="preserve"> The duration of RUR is set as 1 slot. Within each RUR, there are 7 time domain occasions, and each of them has 2 OFDM symbols. </w:t>
      </w:r>
      <w:r>
        <w:rPr>
          <w:rFonts w:hint="eastAsia" w:eastAsia="Times New Roman"/>
          <w:b w:val="0"/>
          <w:sz w:val="20"/>
          <w:szCs w:val="22"/>
          <w:lang w:val="en-US" w:eastAsia="zh-CN"/>
        </w:rPr>
        <w:t xml:space="preserve">The simulation follows </w:t>
      </w:r>
      <w:r>
        <w:rPr>
          <w:rFonts w:eastAsia="Times New Roman"/>
          <w:b w:val="0"/>
          <w:sz w:val="20"/>
          <w:szCs w:val="22"/>
          <w:lang w:val="en-US" w:eastAsia="zh-CN"/>
        </w:rPr>
        <w:t>assumptions</w:t>
      </w:r>
      <w:r>
        <w:rPr>
          <w:rFonts w:hint="eastAsia" w:eastAsia="Times New Roman"/>
          <w:b w:val="0"/>
          <w:sz w:val="20"/>
          <w:szCs w:val="22"/>
          <w:lang w:val="en-US" w:eastAsia="zh-CN"/>
        </w:rPr>
        <w:t xml:space="preserve"> made in RAN1#95[2]. Some main parameters are set as follows: 10 URLLC UEs per cell under t</w:t>
      </w:r>
      <w:r>
        <w:rPr>
          <w:rFonts w:hint="default" w:eastAsia="Times New Roman"/>
          <w:sz w:val="20"/>
          <w:szCs w:val="22"/>
          <w:lang w:val="en-US" w:eastAsia="zh-CN"/>
        </w:rPr>
        <w:t>he</w:t>
      </w:r>
      <w:r>
        <w:rPr>
          <w:rFonts w:hint="eastAsia" w:eastAsia="Times New Roman"/>
          <w:sz w:val="20"/>
          <w:szCs w:val="22"/>
          <w:lang w:val="en-US" w:eastAsia="zh-CN"/>
        </w:rPr>
        <w:t xml:space="preserve"> </w:t>
      </w:r>
      <w:r>
        <w:rPr>
          <w:rFonts w:hint="default" w:ascii="Times New Roman" w:hAnsi="Times New Roman" w:eastAsia="Times New Roman" w:cs="Times New Roman"/>
          <w:b w:val="0"/>
          <w:i w:val="0"/>
          <w:caps w:val="0"/>
          <w:spacing w:val="0"/>
          <w:sz w:val="20"/>
          <w:szCs w:val="22"/>
          <w:shd w:val="clear"/>
          <w:lang w:val="en-US" w:eastAsia="zh-CN"/>
        </w:rPr>
        <w:t>scenario</w:t>
      </w:r>
      <w:r>
        <w:rPr>
          <w:rFonts w:hint="eastAsia" w:eastAsia="Times New Roman" w:cs="Times New Roman"/>
          <w:b w:val="0"/>
          <w:i w:val="0"/>
          <w:caps w:val="0"/>
          <w:spacing w:val="0"/>
          <w:sz w:val="20"/>
          <w:szCs w:val="22"/>
          <w:shd w:val="clear"/>
          <w:lang w:val="en-US" w:eastAsia="zh-CN"/>
        </w:rPr>
        <w:t xml:space="preserve"> of</w:t>
      </w:r>
      <w:r>
        <w:rPr>
          <w:rFonts w:hint="default" w:eastAsia="Times New Roman"/>
          <w:sz w:val="20"/>
          <w:szCs w:val="22"/>
          <w:lang w:val="en-US" w:eastAsia="zh-CN"/>
        </w:rPr>
        <w:t xml:space="preserve"> </w:t>
      </w:r>
      <w:r>
        <w:rPr>
          <w:rFonts w:hint="eastAsia" w:eastAsia="Times New Roman"/>
          <w:sz w:val="20"/>
          <w:szCs w:val="22"/>
          <w:lang w:val="en-US" w:eastAsia="zh-CN"/>
        </w:rPr>
        <w:t>p</w:t>
      </w:r>
      <w:r>
        <w:rPr>
          <w:rFonts w:eastAsia="Times New Roman"/>
          <w:sz w:val="20"/>
          <w:szCs w:val="22"/>
          <w:lang w:val="en-US" w:eastAsia="zh-CN"/>
        </w:rPr>
        <w:t>ower distribution</w:t>
      </w:r>
      <w:r>
        <w:rPr>
          <w:rFonts w:hint="eastAsia" w:eastAsia="Times New Roman"/>
          <w:sz w:val="20"/>
          <w:szCs w:val="22"/>
          <w:lang w:val="en-US" w:eastAsia="zh-CN"/>
        </w:rPr>
        <w:t>. T</w:t>
      </w:r>
      <w:r>
        <w:rPr>
          <w:rFonts w:hint="default" w:eastAsia="Times New Roman"/>
          <w:sz w:val="20"/>
          <w:szCs w:val="22"/>
          <w:lang w:val="en-US" w:eastAsia="zh-CN"/>
        </w:rPr>
        <w:t xml:space="preserve">he data packet size </w:t>
      </w:r>
      <w:r>
        <w:rPr>
          <w:rFonts w:hint="eastAsia" w:eastAsia="Times New Roman"/>
          <w:sz w:val="20"/>
          <w:szCs w:val="22"/>
          <w:lang w:val="en-US" w:eastAsia="zh-CN"/>
        </w:rPr>
        <w:t xml:space="preserve">is </w:t>
      </w:r>
      <w:r>
        <w:rPr>
          <w:rFonts w:hint="eastAsia" w:eastAsia="Times New Roman"/>
          <w:sz w:val="20"/>
          <w:lang w:val="en-US" w:eastAsia="zh-CN"/>
        </w:rPr>
        <w:t xml:space="preserve">100 bytes, and the traffic model is </w:t>
      </w:r>
      <w:r>
        <w:rPr>
          <w:rFonts w:eastAsia="Times New Roman"/>
          <w:sz w:val="20"/>
          <w:lang w:val="en-US" w:eastAsia="zh-CN"/>
        </w:rPr>
        <w:t>ftp model 3 with arrival interval 100 ms</w:t>
      </w:r>
      <w:r>
        <w:rPr>
          <w:rFonts w:hint="eastAsia" w:eastAsia="Times New Roman"/>
          <w:sz w:val="20"/>
          <w:lang w:val="en-US" w:eastAsia="zh-CN"/>
        </w:rPr>
        <w:t xml:space="preserve">. </w:t>
      </w:r>
      <w:r>
        <w:rPr>
          <w:rFonts w:eastAsia="Times New Roman"/>
          <w:sz w:val="20"/>
          <w:lang w:val="en-US" w:eastAsia="zh-CN"/>
        </w:rPr>
        <w:t>The</w:t>
      </w:r>
      <w:r>
        <w:rPr>
          <w:rFonts w:hint="eastAsia" w:eastAsia="Times New Roman"/>
          <w:sz w:val="20"/>
          <w:lang w:val="en-US" w:eastAsia="zh-CN"/>
        </w:rPr>
        <w:t xml:space="preserve"> remaining</w:t>
      </w:r>
      <w:r>
        <w:rPr>
          <w:rFonts w:hint="eastAsia" w:eastAsia="Times New Roman"/>
          <w:b w:val="0"/>
          <w:sz w:val="20"/>
          <w:szCs w:val="22"/>
          <w:lang w:val="en-US" w:eastAsia="zh-CN"/>
        </w:rPr>
        <w:t xml:space="preserve"> details of simulation assumptions are listed in the appendix. </w:t>
      </w:r>
      <w:r>
        <w:rPr>
          <w:rFonts w:eastAsia="Times New Roman"/>
          <w:sz w:val="20"/>
          <w:lang w:val="en-US" w:eastAsia="zh-CN"/>
        </w:rPr>
        <w:t>The simulation results are showed in Table-</w:t>
      </w:r>
      <w:r>
        <w:rPr>
          <w:rFonts w:hint="eastAsia" w:eastAsia="Times New Roman"/>
          <w:sz w:val="20"/>
          <w:lang w:val="en-US" w:eastAsia="zh-CN"/>
        </w:rPr>
        <w:t>2</w:t>
      </w:r>
      <w:r>
        <w:rPr>
          <w:rFonts w:eastAsia="Times New Roman"/>
          <w:sz w:val="20"/>
          <w:lang w:val="en-US" w:eastAsia="zh-CN"/>
        </w:rPr>
        <w:t xml:space="preserve">. </w:t>
      </w:r>
    </w:p>
    <w:p>
      <w:pPr>
        <w:snapToGrid w:val="0"/>
        <w:spacing w:afterLines="50"/>
        <w:jc w:val="center"/>
        <w:rPr>
          <w:rFonts w:eastAsiaTheme="minorEastAsia"/>
          <w:sz w:val="20"/>
          <w:lang w:val="en-US" w:eastAsia="zh-CN"/>
        </w:rPr>
      </w:pPr>
      <w:r>
        <w:rPr>
          <w:rFonts w:hint="eastAsia"/>
          <w:b/>
          <w:sz w:val="20"/>
          <w:szCs w:val="22"/>
          <w:lang w:val="en-US" w:eastAsia="zh-CN"/>
        </w:rPr>
        <w:t>Table</w:t>
      </w:r>
      <w:r>
        <w:rPr>
          <w:rFonts w:hint="eastAsia" w:eastAsiaTheme="minorEastAsia"/>
          <w:b/>
          <w:sz w:val="20"/>
          <w:szCs w:val="22"/>
          <w:lang w:val="en-US" w:eastAsia="zh-CN"/>
        </w:rPr>
        <w:t>-2 Statistics of time domain occasions occupied by URLLC under p</w:t>
      </w:r>
      <w:r>
        <w:rPr>
          <w:rFonts w:eastAsiaTheme="minorEastAsia"/>
          <w:b/>
          <w:sz w:val="20"/>
          <w:szCs w:val="22"/>
          <w:lang w:val="en-US" w:eastAsia="zh-CN"/>
        </w:rPr>
        <w:t>ower distribution</w:t>
      </w:r>
      <w:r>
        <w:rPr>
          <w:rFonts w:hint="eastAsia" w:eastAsiaTheme="minorEastAsia"/>
          <w:b/>
          <w:sz w:val="20"/>
          <w:szCs w:val="22"/>
          <w:lang w:val="en-US" w:eastAsia="zh-CN"/>
        </w:rPr>
        <w:t xml:space="preserve"> </w:t>
      </w:r>
      <w:r>
        <w:rPr>
          <w:rFonts w:hint="default" w:ascii="Times New Roman" w:hAnsi="Times New Roman" w:cs="Times New Roman" w:eastAsiaTheme="minorEastAsia"/>
          <w:b/>
          <w:i w:val="0"/>
          <w:caps w:val="0"/>
          <w:spacing w:val="0"/>
          <w:sz w:val="20"/>
          <w:szCs w:val="22"/>
          <w:shd w:val="clear"/>
          <w:lang w:val="en-US" w:eastAsia="zh-CN"/>
        </w:rPr>
        <w:t>scenario</w:t>
      </w:r>
    </w:p>
    <w:tbl>
      <w:tblPr>
        <w:tblStyle w:val="52"/>
        <w:tblW w:w="5118" w:type="dxa"/>
        <w:jc w:val="center"/>
        <w:tblInd w:w="-3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1"/>
        <w:gridCol w:w="2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91" w:type="dxa"/>
            <w:shd w:val="clear" w:color="auto" w:fill="E6E0EC" w:themeFill="accent4" w:themeFillTint="32"/>
            <w:vAlign w:val="center"/>
          </w:tcPr>
          <w:p>
            <w:pPr>
              <w:pStyle w:val="60"/>
              <w:spacing w:before="0" w:after="0"/>
              <w:jc w:val="center"/>
              <w:rPr>
                <w:rFonts w:ascii="Times New Roman" w:hAnsi="Times New Roman"/>
                <w:b/>
                <w:bCs/>
                <w:i w:val="0"/>
                <w:szCs w:val="18"/>
                <w:lang w:val="en-US" w:eastAsia="zh-CN"/>
              </w:rPr>
            </w:pPr>
            <w:r>
              <w:rPr>
                <w:rFonts w:hint="eastAsia" w:ascii="Times New Roman" w:hAnsi="Times New Roman"/>
                <w:b/>
                <w:bCs/>
                <w:i w:val="0"/>
                <w:szCs w:val="18"/>
                <w:lang w:val="en-US" w:eastAsia="zh-CN"/>
              </w:rPr>
              <w:t>Number of occasions occupied  by URLLC in a RUR</w:t>
            </w:r>
          </w:p>
        </w:tc>
        <w:tc>
          <w:tcPr>
            <w:tcW w:w="2427" w:type="dxa"/>
            <w:shd w:val="clear" w:color="auto" w:fill="E6E0EC" w:themeFill="accent4" w:themeFillTint="32"/>
            <w:vAlign w:val="center"/>
          </w:tcPr>
          <w:p>
            <w:pPr>
              <w:pStyle w:val="60"/>
              <w:spacing w:before="0" w:after="0"/>
              <w:jc w:val="center"/>
              <w:rPr>
                <w:rFonts w:hint="eastAsia" w:ascii="Times New Roman" w:hAnsi="Times New Roman"/>
                <w:b/>
                <w:bCs/>
                <w:i w:val="0"/>
                <w:szCs w:val="18"/>
                <w:lang w:val="en-US" w:eastAsia="zh-CN"/>
              </w:rPr>
            </w:pPr>
            <w:r>
              <w:rPr>
                <w:rFonts w:hint="eastAsia" w:ascii="Times New Roman" w:hAnsi="Times New Roman"/>
                <w:b/>
                <w:bCs/>
                <w:i w:val="0"/>
                <w:szCs w:val="18"/>
                <w:lang w:val="en-US" w:eastAsia="zh-CN"/>
              </w:rPr>
              <w:t>Percentage(%)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jc w:val="center"/>
        </w:trPr>
        <w:tc>
          <w:tcPr>
            <w:tcW w:w="2691" w:type="dxa"/>
            <w:shd w:val="clear" w:color="auto" w:fill="auto"/>
            <w:vAlign w:val="center"/>
          </w:tcPr>
          <w:p>
            <w:pPr>
              <w:pStyle w:val="60"/>
              <w:spacing w:before="0" w:after="0"/>
              <w:jc w:val="center"/>
              <w:rPr>
                <w:rFonts w:hint="eastAsia" w:ascii="Times New Roman" w:hAnsi="Times New Roman"/>
                <w:i w:val="0"/>
                <w:sz w:val="20"/>
                <w:lang w:val="en-US" w:eastAsia="zh-CN"/>
              </w:rPr>
            </w:pPr>
            <w:r>
              <w:rPr>
                <w:rFonts w:hint="eastAsia" w:ascii="Times New Roman" w:hAnsi="Times New Roman"/>
                <w:i w:val="0"/>
                <w:sz w:val="20"/>
                <w:lang w:val="en-US" w:eastAsia="zh-CN"/>
              </w:rPr>
              <w:t>1</w:t>
            </w:r>
          </w:p>
        </w:tc>
        <w:tc>
          <w:tcPr>
            <w:tcW w:w="2427" w:type="dxa"/>
            <w:shd w:val="clear" w:color="auto" w:fill="auto"/>
            <w:vAlign w:val="center"/>
          </w:tcPr>
          <w:p>
            <w:pPr>
              <w:pStyle w:val="60"/>
              <w:spacing w:before="0" w:after="0"/>
              <w:jc w:val="center"/>
              <w:rPr>
                <w:rFonts w:ascii="Times New Roman" w:hAnsi="Times New Roman"/>
                <w:i w:val="0"/>
                <w:sz w:val="20"/>
                <w:lang w:val="en-US" w:eastAsia="zh-CN"/>
              </w:rPr>
            </w:pPr>
            <w:r>
              <w:rPr>
                <w:rFonts w:hint="eastAsia" w:ascii="Times New Roman" w:hAnsi="Times New Roman"/>
                <w:i w:val="0"/>
                <w:sz w:val="20"/>
                <w:lang w:val="en-US"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 w:hRule="atLeast"/>
          <w:jc w:val="center"/>
        </w:trPr>
        <w:tc>
          <w:tcPr>
            <w:tcW w:w="2691" w:type="dxa"/>
            <w:shd w:val="clear" w:color="auto" w:fill="auto"/>
            <w:vAlign w:val="center"/>
          </w:tcPr>
          <w:p>
            <w:pPr>
              <w:pStyle w:val="60"/>
              <w:spacing w:before="0" w:after="0"/>
              <w:jc w:val="center"/>
              <w:rPr>
                <w:rFonts w:ascii="Times New Roman" w:hAnsi="Times New Roman"/>
                <w:i w:val="0"/>
                <w:sz w:val="20"/>
                <w:lang w:val="en-US" w:eastAsia="zh-CN"/>
              </w:rPr>
            </w:pPr>
            <w:r>
              <w:rPr>
                <w:rFonts w:hint="eastAsia" w:ascii="Times New Roman" w:hAnsi="Times New Roman"/>
                <w:i w:val="0"/>
                <w:sz w:val="20"/>
                <w:lang w:val="en-US" w:eastAsia="zh-CN"/>
              </w:rPr>
              <w:t>2</w:t>
            </w:r>
          </w:p>
        </w:tc>
        <w:tc>
          <w:tcPr>
            <w:tcW w:w="2427" w:type="dxa"/>
            <w:shd w:val="clear" w:color="auto" w:fill="auto"/>
            <w:vAlign w:val="center"/>
          </w:tcPr>
          <w:p>
            <w:pPr>
              <w:pStyle w:val="60"/>
              <w:spacing w:before="0" w:after="0"/>
              <w:jc w:val="center"/>
              <w:rPr>
                <w:rFonts w:ascii="Times New Roman" w:hAnsi="Times New Roman"/>
                <w:i w:val="0"/>
                <w:sz w:val="20"/>
                <w:lang w:val="en-US" w:eastAsia="zh-CN"/>
              </w:rPr>
            </w:pPr>
            <w:r>
              <w:rPr>
                <w:rFonts w:hint="eastAsia" w:ascii="Times New Roman" w:hAnsi="Times New Roman"/>
                <w:i w:val="0"/>
                <w:sz w:val="20"/>
                <w:lang w:val="en-US" w:eastAsia="zh-CN"/>
              </w:rPr>
              <w:t>26.09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2691" w:type="dxa"/>
            <w:shd w:val="clear" w:color="auto" w:fill="auto"/>
            <w:vAlign w:val="center"/>
          </w:tcPr>
          <w:p>
            <w:pPr>
              <w:pStyle w:val="60"/>
              <w:spacing w:before="0" w:after="0"/>
              <w:jc w:val="center"/>
              <w:rPr>
                <w:rFonts w:ascii="Times New Roman" w:hAnsi="Times New Roman"/>
                <w:i w:val="0"/>
                <w:sz w:val="20"/>
                <w:lang w:val="en-US" w:eastAsia="zh-CN"/>
              </w:rPr>
            </w:pPr>
            <w:r>
              <w:rPr>
                <w:rFonts w:hint="eastAsia" w:ascii="Times New Roman" w:hAnsi="Times New Roman"/>
                <w:i w:val="0"/>
                <w:sz w:val="20"/>
                <w:lang w:val="en-US" w:eastAsia="zh-CN"/>
              </w:rPr>
              <w:t>3</w:t>
            </w:r>
          </w:p>
        </w:tc>
        <w:tc>
          <w:tcPr>
            <w:tcW w:w="2427" w:type="dxa"/>
            <w:shd w:val="clear" w:color="auto" w:fill="auto"/>
            <w:vAlign w:val="center"/>
          </w:tcPr>
          <w:p>
            <w:pPr>
              <w:pStyle w:val="60"/>
              <w:spacing w:before="0" w:after="0"/>
              <w:jc w:val="center"/>
              <w:rPr>
                <w:rFonts w:ascii="Times New Roman" w:hAnsi="Times New Roman"/>
                <w:i w:val="0"/>
                <w:sz w:val="20"/>
                <w:lang w:val="en-US" w:eastAsia="zh-CN"/>
              </w:rPr>
            </w:pPr>
            <w:r>
              <w:rPr>
                <w:rFonts w:hint="eastAsia" w:ascii="Times New Roman" w:hAnsi="Times New Roman"/>
                <w:i w:val="0"/>
                <w:sz w:val="20"/>
                <w:lang w:val="en-US" w:eastAsia="zh-CN"/>
              </w:rPr>
              <w:t>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2691" w:type="dxa"/>
            <w:shd w:val="clear" w:color="auto" w:fill="auto"/>
            <w:vAlign w:val="center"/>
          </w:tcPr>
          <w:p>
            <w:pPr>
              <w:pStyle w:val="60"/>
              <w:spacing w:before="0" w:after="0"/>
              <w:jc w:val="center"/>
              <w:rPr>
                <w:rFonts w:hint="eastAsia" w:ascii="Times New Roman" w:hAnsi="Times New Roman"/>
                <w:i w:val="0"/>
                <w:sz w:val="20"/>
                <w:lang w:val="en-US" w:eastAsia="zh-CN"/>
              </w:rPr>
            </w:pPr>
            <w:r>
              <w:rPr>
                <w:rFonts w:hint="eastAsia" w:ascii="Times New Roman" w:hAnsi="Times New Roman"/>
                <w:i w:val="0"/>
                <w:sz w:val="20"/>
                <w:lang w:val="en-US" w:eastAsia="zh-CN"/>
              </w:rPr>
              <w:t>Above 3</w:t>
            </w:r>
          </w:p>
        </w:tc>
        <w:tc>
          <w:tcPr>
            <w:tcW w:w="2427" w:type="dxa"/>
            <w:shd w:val="clear" w:color="auto" w:fill="auto"/>
            <w:vAlign w:val="center"/>
          </w:tcPr>
          <w:p>
            <w:pPr>
              <w:pStyle w:val="60"/>
              <w:spacing w:before="0" w:after="0"/>
              <w:jc w:val="center"/>
              <w:rPr>
                <w:rFonts w:ascii="Times New Roman" w:hAnsi="Times New Roman"/>
                <w:i w:val="0"/>
                <w:sz w:val="20"/>
                <w:lang w:val="en-US" w:eastAsia="zh-CN"/>
              </w:rPr>
            </w:pPr>
            <w:r>
              <w:rPr>
                <w:rFonts w:hint="eastAsia" w:ascii="Times New Roman" w:hAnsi="Times New Roman"/>
                <w:i w:val="0"/>
                <w:sz w:val="20"/>
                <w:lang w:val="en-US" w:eastAsia="zh-CN"/>
              </w:rPr>
              <w:t>2.85</w:t>
            </w:r>
          </w:p>
        </w:tc>
      </w:tr>
    </w:tbl>
    <w:p>
      <w:pPr>
        <w:snapToGrid w:val="0"/>
        <w:spacing w:afterLines="50"/>
        <w:rPr>
          <w:rFonts w:hint="eastAsia" w:eastAsia="Batang"/>
          <w:sz w:val="20"/>
          <w:szCs w:val="22"/>
          <w:lang w:val="en-US" w:eastAsia="zh-CN"/>
        </w:rPr>
      </w:pPr>
    </w:p>
    <w:p>
      <w:pPr>
        <w:snapToGrid w:val="0"/>
        <w:spacing w:afterLines="50"/>
        <w:rPr>
          <w:rFonts w:hint="eastAsia"/>
          <w:bCs/>
          <w:i w:val="0"/>
          <w:iCs w:val="0"/>
          <w:sz w:val="20"/>
          <w:szCs w:val="22"/>
          <w:lang w:val="en-US" w:eastAsia="zh-CN"/>
        </w:rPr>
      </w:pPr>
      <w:r>
        <w:rPr>
          <w:rFonts w:hint="eastAsia" w:eastAsia="Batang"/>
          <w:sz w:val="20"/>
          <w:szCs w:val="22"/>
          <w:lang w:val="en-US" w:eastAsia="zh-CN"/>
        </w:rPr>
        <w:t xml:space="preserve">As show in Table-2, </w:t>
      </w:r>
      <w:r>
        <w:rPr>
          <w:rFonts w:eastAsia="Batang"/>
          <w:sz w:val="20"/>
          <w:szCs w:val="22"/>
          <w:lang w:val="en-US" w:eastAsia="zh-CN"/>
        </w:rPr>
        <w:t xml:space="preserve">the number of occasions occupied by </w:t>
      </w:r>
      <w:r>
        <w:rPr>
          <w:rFonts w:hint="eastAsia" w:eastAsia="Batang"/>
          <w:sz w:val="20"/>
          <w:szCs w:val="22"/>
          <w:lang w:val="en-US" w:eastAsia="zh-CN"/>
        </w:rPr>
        <w:t>URLLC</w:t>
      </w:r>
      <w:r>
        <w:rPr>
          <w:rFonts w:eastAsia="Batang"/>
          <w:sz w:val="20"/>
          <w:szCs w:val="22"/>
          <w:lang w:val="en-US" w:eastAsia="zh-CN"/>
        </w:rPr>
        <w:t xml:space="preserve"> is relatively small</w:t>
      </w:r>
      <w:r>
        <w:rPr>
          <w:rFonts w:hint="eastAsia" w:eastAsia="Batang"/>
          <w:sz w:val="20"/>
          <w:szCs w:val="22"/>
          <w:lang w:val="en-US" w:eastAsia="zh-CN"/>
        </w:rPr>
        <w:t>. Most of occupied RURs contain no more than 3 occasions</w:t>
      </w:r>
      <w:r>
        <w:rPr>
          <w:rFonts w:eastAsia="Batang"/>
          <w:sz w:val="20"/>
          <w:szCs w:val="22"/>
          <w:lang w:val="en-US" w:eastAsia="zh-CN"/>
        </w:rPr>
        <w:t xml:space="preserve"> </w:t>
      </w:r>
      <w:r>
        <w:rPr>
          <w:rFonts w:hint="eastAsia" w:eastAsia="Batang"/>
          <w:sz w:val="20"/>
          <w:szCs w:val="22"/>
          <w:lang w:val="en-US" w:eastAsia="zh-CN"/>
        </w:rPr>
        <w:t>occ</w:t>
      </w:r>
      <w:r>
        <w:rPr>
          <w:rFonts w:hint="eastAsia" w:eastAsia="Batang"/>
          <w:i w:val="0"/>
          <w:iCs w:val="0"/>
          <w:sz w:val="20"/>
          <w:szCs w:val="22"/>
          <w:lang w:val="en-US" w:eastAsia="zh-CN"/>
        </w:rPr>
        <w:t>upied</w:t>
      </w:r>
      <w:r>
        <w:rPr>
          <w:rFonts w:eastAsia="Batang"/>
          <w:i w:val="0"/>
          <w:iCs w:val="0"/>
          <w:sz w:val="20"/>
          <w:szCs w:val="22"/>
          <w:lang w:val="en-US" w:eastAsia="zh-CN"/>
        </w:rPr>
        <w:t xml:space="preserve"> by URLLC</w:t>
      </w:r>
      <w:r>
        <w:rPr>
          <w:rFonts w:hint="eastAsia" w:eastAsia="Batang"/>
          <w:i w:val="0"/>
          <w:iCs w:val="0"/>
          <w:sz w:val="20"/>
          <w:szCs w:val="22"/>
          <w:lang w:val="en-US" w:eastAsia="zh-CN"/>
        </w:rPr>
        <w:t xml:space="preserve">, which </w:t>
      </w:r>
      <w:r>
        <w:rPr>
          <w:rFonts w:hint="eastAsia"/>
          <w:bCs/>
          <w:i w:val="0"/>
          <w:iCs w:val="0"/>
          <w:sz w:val="20"/>
          <w:szCs w:val="22"/>
          <w:lang w:val="en-US" w:eastAsia="zh-CN"/>
        </w:rPr>
        <w:t xml:space="preserve">a finer frequency domain indication granularity can be expected in the </w:t>
      </w:r>
      <w:r>
        <w:rPr>
          <w:bCs/>
          <w:i w:val="0"/>
          <w:iCs w:val="0"/>
          <w:sz w:val="20"/>
          <w:szCs w:val="22"/>
          <w:lang w:val="en-US" w:eastAsia="zh-CN"/>
        </w:rPr>
        <w:t>dynamic</w:t>
      </w:r>
      <w:r>
        <w:rPr>
          <w:rFonts w:hint="eastAsia"/>
          <w:bCs/>
          <w:i w:val="0"/>
          <w:iCs w:val="0"/>
          <w:sz w:val="20"/>
          <w:szCs w:val="22"/>
          <w:lang w:val="en-US" w:eastAsia="zh-CN"/>
        </w:rPr>
        <w:t xml:space="preserve"> 2-D bitmap. </w:t>
      </w:r>
    </w:p>
    <w:p>
      <w:pPr>
        <w:snapToGrid w:val="0"/>
        <w:spacing w:afterLines="50"/>
        <w:rPr>
          <w:rFonts w:eastAsia="Batang"/>
          <w:sz w:val="20"/>
          <w:szCs w:val="22"/>
          <w:lang w:val="en-US" w:eastAsia="zh-CN"/>
        </w:rPr>
      </w:pPr>
      <w:r>
        <w:rPr>
          <w:rFonts w:hint="eastAsia" w:eastAsia="Batang"/>
          <w:sz w:val="20"/>
          <w:szCs w:val="22"/>
          <w:lang w:val="en-US" w:eastAsia="zh-CN"/>
        </w:rPr>
        <w:t xml:space="preserve">Based on the discussion above, we have the following proposal. </w:t>
      </w:r>
    </w:p>
    <w:p>
      <w:pPr>
        <w:overflowPunct w:val="0"/>
        <w:autoSpaceDE w:val="0"/>
        <w:autoSpaceDN w:val="0"/>
        <w:adjustRightInd w:val="0"/>
        <w:spacing w:afterLines="50" w:line="276" w:lineRule="auto"/>
        <w:textAlignment w:val="baseline"/>
        <w:rPr>
          <w:rFonts w:hint="eastAsia"/>
          <w:bCs/>
          <w:i/>
          <w:sz w:val="20"/>
          <w:szCs w:val="22"/>
          <w:lang w:val="en-US" w:eastAsia="zh-CN"/>
        </w:rPr>
      </w:pPr>
      <w:r>
        <w:rPr>
          <w:b/>
          <w:i/>
          <w:sz w:val="20"/>
          <w:szCs w:val="22"/>
          <w:lang w:val="en-US" w:eastAsia="zh-CN"/>
        </w:rPr>
        <w:t xml:space="preserve">Proposal </w:t>
      </w:r>
      <w:r>
        <w:rPr>
          <w:rFonts w:hint="eastAsia"/>
          <w:b/>
          <w:i/>
          <w:sz w:val="20"/>
          <w:szCs w:val="22"/>
          <w:lang w:val="en-US" w:eastAsia="zh-CN"/>
        </w:rPr>
        <w:t>1</w:t>
      </w:r>
      <w:r>
        <w:rPr>
          <w:b/>
          <w:i/>
          <w:sz w:val="20"/>
          <w:szCs w:val="22"/>
          <w:lang w:val="en-US" w:eastAsia="zh-CN"/>
        </w:rPr>
        <w:t>:</w:t>
      </w:r>
      <w:r>
        <w:rPr>
          <w:rFonts w:hint="eastAsia" w:eastAsia="Batang"/>
          <w:i/>
          <w:sz w:val="20"/>
          <w:szCs w:val="22"/>
          <w:lang w:val="en-US" w:eastAsia="zh-CN"/>
        </w:rPr>
        <w:t xml:space="preserve"> RAN1 should support dynamic</w:t>
      </w:r>
      <w:r>
        <w:rPr>
          <w:rFonts w:hint="eastAsia"/>
          <w:bCs/>
          <w:i/>
          <w:sz w:val="20"/>
          <w:szCs w:val="22"/>
          <w:lang w:val="en-US" w:eastAsia="zh-CN"/>
        </w:rPr>
        <w:t xml:space="preserve"> 2-D bitmap method f</w:t>
      </w:r>
      <w:r>
        <w:rPr>
          <w:rFonts w:hint="eastAsia" w:eastAsia="Batang"/>
          <w:i/>
          <w:sz w:val="20"/>
          <w:szCs w:val="22"/>
          <w:lang w:val="en-US" w:eastAsia="zh-CN"/>
        </w:rPr>
        <w:t>or UL cancelation resource indication</w:t>
      </w:r>
      <w:r>
        <w:rPr>
          <w:rFonts w:hint="eastAsia"/>
          <w:bCs/>
          <w:i/>
          <w:sz w:val="20"/>
          <w:szCs w:val="22"/>
          <w:lang w:val="en-US" w:eastAsia="zh-CN"/>
        </w:rPr>
        <w:t>.</w:t>
      </w:r>
    </w:p>
    <w:p>
      <w:pPr>
        <w:numPr>
          <w:ilvl w:val="0"/>
          <w:numId w:val="15"/>
        </w:numPr>
        <w:overflowPunct w:val="0"/>
        <w:autoSpaceDE w:val="0"/>
        <w:autoSpaceDN w:val="0"/>
        <w:adjustRightInd w:val="0"/>
        <w:spacing w:afterLines="50" w:line="276" w:lineRule="auto"/>
        <w:ind w:left="840" w:hanging="420"/>
        <w:textAlignment w:val="baseline"/>
        <w:rPr>
          <w:rFonts w:hint="eastAsia" w:eastAsia="Times New Roman"/>
          <w:bCs w:val="0"/>
          <w:i/>
          <w:iCs/>
          <w:sz w:val="20"/>
          <w:szCs w:val="22"/>
          <w:lang w:val="en-US" w:eastAsia="zh-CN"/>
        </w:rPr>
      </w:pPr>
      <w:r>
        <w:rPr>
          <w:rFonts w:hint="eastAsia" w:eastAsia="Times New Roman"/>
          <w:i/>
          <w:iCs/>
          <w:sz w:val="20"/>
          <w:szCs w:val="22"/>
          <w:lang w:val="en-US" w:eastAsia="zh-CN"/>
        </w:rPr>
        <w:t>Occupied t</w:t>
      </w:r>
      <w:r>
        <w:rPr>
          <w:rFonts w:hint="eastAsia" w:eastAsia="Times New Roman"/>
          <w:bCs w:val="0"/>
          <w:i/>
          <w:iCs/>
          <w:sz w:val="20"/>
          <w:szCs w:val="22"/>
          <w:lang w:val="en-US" w:eastAsia="zh-CN"/>
        </w:rPr>
        <w:t>ime domain occasions are indicated by bitmap firstly</w:t>
      </w:r>
    </w:p>
    <w:p>
      <w:pPr>
        <w:numPr>
          <w:ilvl w:val="0"/>
          <w:numId w:val="15"/>
        </w:numPr>
        <w:overflowPunct w:val="0"/>
        <w:autoSpaceDE w:val="0"/>
        <w:autoSpaceDN w:val="0"/>
        <w:adjustRightInd w:val="0"/>
        <w:spacing w:afterLines="50" w:line="276" w:lineRule="auto"/>
        <w:ind w:left="840" w:hanging="420"/>
        <w:textAlignment w:val="baseline"/>
        <w:rPr>
          <w:rFonts w:hint="eastAsia" w:eastAsia="Times New Roman"/>
          <w:bCs w:val="0"/>
          <w:i/>
          <w:iCs/>
          <w:sz w:val="20"/>
          <w:szCs w:val="22"/>
          <w:lang w:val="en-US" w:eastAsia="zh-CN"/>
        </w:rPr>
      </w:pPr>
      <w:r>
        <w:rPr>
          <w:rFonts w:hint="eastAsia" w:eastAsia="Times New Roman"/>
          <w:bCs w:val="0"/>
          <w:i/>
          <w:iCs/>
          <w:sz w:val="20"/>
          <w:szCs w:val="22"/>
          <w:lang w:val="en-US" w:eastAsia="zh-CN"/>
        </w:rPr>
        <w:t>The time-frequency resource corresponding to the occupied time domain occasions is indicated by a 2-D bitmap dynamically.</w:t>
      </w:r>
    </w:p>
    <w:p>
      <w:pPr>
        <w:pStyle w:val="3"/>
        <w:rPr>
          <w:rFonts w:hint="eastAsia"/>
          <w:szCs w:val="22"/>
          <w:lang w:val="en-US" w:eastAsia="zh-CN"/>
        </w:rPr>
      </w:pPr>
      <w:r>
        <w:rPr>
          <w:rFonts w:hint="eastAsia"/>
          <w:szCs w:val="22"/>
          <w:lang w:val="en-US" w:eastAsia="zh-CN"/>
        </w:rPr>
        <w:t xml:space="preserve">Time domain configuration of reference uplink </w:t>
      </w:r>
      <w:r>
        <w:rPr>
          <w:rFonts w:hint="eastAsia" w:eastAsia="宋体"/>
          <w:sz w:val="28"/>
          <w:szCs w:val="22"/>
          <w:lang w:val="en-US" w:eastAsia="zh-CN" w:bidi="ar"/>
        </w:rPr>
        <w:t>region</w:t>
      </w:r>
    </w:p>
    <w:p>
      <w:pPr>
        <w:numPr>
          <w:ilvl w:val="0"/>
          <w:numId w:val="0"/>
        </w:numPr>
        <w:snapToGrid w:val="0"/>
        <w:spacing w:beforeLines="0" w:after="0" w:afterLines="50"/>
        <w:rPr>
          <w:rFonts w:hint="eastAsia" w:eastAsia="Times New Roman"/>
          <w:sz w:val="20"/>
          <w:szCs w:val="22"/>
          <w:u w:val="none"/>
          <w:lang w:val="en-US" w:eastAsia="zh-CN" w:bidi="ar"/>
        </w:rPr>
      </w:pPr>
      <w:r>
        <w:rPr>
          <w:rFonts w:hint="eastAsia" w:eastAsia="Times New Roman"/>
          <w:sz w:val="20"/>
          <w:szCs w:val="22"/>
          <w:u w:val="none"/>
          <w:lang w:val="en-US" w:eastAsia="zh-CN" w:bidi="ar"/>
        </w:rPr>
        <w:t xml:space="preserve">In Rel-15, if the UE is provided </w:t>
      </w:r>
      <w:bookmarkStart w:id="9" w:name="OLE_LINK6"/>
      <w:r>
        <w:rPr>
          <w:rFonts w:hint="eastAsia" w:eastAsia="Times New Roman"/>
          <w:i/>
          <w:iCs/>
          <w:sz w:val="20"/>
          <w:szCs w:val="22"/>
          <w:u w:val="none"/>
          <w:lang w:val="en-US" w:eastAsia="zh-CN" w:bidi="ar"/>
        </w:rPr>
        <w:t>tdd-UL-DL-ConfigurationCommon</w:t>
      </w:r>
      <w:bookmarkEnd w:id="9"/>
      <w:r>
        <w:rPr>
          <w:rFonts w:hint="eastAsia" w:eastAsia="Times New Roman"/>
          <w:sz w:val="20"/>
          <w:szCs w:val="22"/>
          <w:u w:val="none"/>
          <w:lang w:val="en-US" w:eastAsia="zh-CN" w:bidi="ar"/>
        </w:rPr>
        <w:t xml:space="preserve">, symbols indicated as uplink by </w:t>
      </w:r>
      <w:r>
        <w:rPr>
          <w:rFonts w:hint="eastAsia" w:eastAsia="Times New Roman"/>
          <w:i/>
          <w:iCs/>
          <w:sz w:val="20"/>
          <w:szCs w:val="22"/>
          <w:u w:val="none"/>
          <w:lang w:val="en-US" w:eastAsia="zh-CN" w:bidi="ar"/>
        </w:rPr>
        <w:t>tdd-UL-DL-ConfigurationCommon</w:t>
      </w:r>
      <w:r>
        <w:rPr>
          <w:rFonts w:hint="eastAsia" w:eastAsia="Times New Roman"/>
          <w:sz w:val="20"/>
          <w:szCs w:val="22"/>
          <w:u w:val="none"/>
          <w:lang w:val="en-US" w:eastAsia="zh-CN" w:bidi="ar"/>
        </w:rPr>
        <w:t xml:space="preserve"> are excluded from the RDR for avoiding unnecessary indication in downlink interrupted transmission indication. Similarly, the downlink symbols </w:t>
      </w:r>
      <w:bookmarkStart w:id="10" w:name="OLE_LINK9"/>
      <w:r>
        <w:rPr>
          <w:rFonts w:hint="eastAsia" w:eastAsia="Times New Roman"/>
          <w:sz w:val="20"/>
          <w:szCs w:val="22"/>
          <w:u w:val="none"/>
          <w:lang w:val="en-US" w:eastAsia="zh-CN" w:bidi="ar"/>
        </w:rPr>
        <w:t xml:space="preserve">indicated by </w:t>
      </w:r>
      <w:r>
        <w:rPr>
          <w:rFonts w:hint="eastAsia" w:eastAsia="Times New Roman"/>
          <w:i/>
          <w:iCs/>
          <w:sz w:val="20"/>
          <w:szCs w:val="22"/>
          <w:u w:val="none"/>
          <w:lang w:val="en-US" w:eastAsia="zh-CN" w:bidi="ar"/>
        </w:rPr>
        <w:t>tdd-UL-DL-ConfigurationCommon</w:t>
      </w:r>
      <w:r>
        <w:rPr>
          <w:rFonts w:hint="eastAsia" w:eastAsia="Times New Roman"/>
          <w:sz w:val="20"/>
          <w:szCs w:val="22"/>
          <w:u w:val="none"/>
          <w:lang w:val="en-US" w:eastAsia="zh-CN" w:bidi="ar"/>
        </w:rPr>
        <w:t xml:space="preserve"> </w:t>
      </w:r>
      <w:bookmarkEnd w:id="10"/>
      <w:r>
        <w:rPr>
          <w:rFonts w:hint="eastAsia" w:eastAsia="Times New Roman"/>
          <w:sz w:val="20"/>
          <w:szCs w:val="22"/>
          <w:u w:val="none"/>
          <w:lang w:val="en-US" w:eastAsia="zh-CN" w:bidi="ar"/>
        </w:rPr>
        <w:t xml:space="preserve">should also be excluded from the </w:t>
      </w:r>
      <w:r>
        <w:rPr>
          <w:rFonts w:hint="eastAsia" w:eastAsia="Times New Roman"/>
          <w:sz w:val="20"/>
          <w:szCs w:val="22"/>
          <w:lang w:val="en-US" w:eastAsia="zh-CN" w:bidi="ar"/>
        </w:rPr>
        <w:t>reference uplink region(i.e. RUR) where a UL CI applies</w:t>
      </w:r>
      <w:r>
        <w:rPr>
          <w:rFonts w:hint="eastAsia" w:eastAsia="Times New Roman"/>
          <w:sz w:val="20"/>
          <w:szCs w:val="22"/>
          <w:u w:val="none"/>
          <w:lang w:val="en-US" w:eastAsia="zh-CN" w:bidi="ar"/>
        </w:rPr>
        <w:t xml:space="preserve">. </w:t>
      </w:r>
    </w:p>
    <w:p>
      <w:pPr>
        <w:numPr>
          <w:ilvl w:val="-1"/>
          <w:numId w:val="0"/>
        </w:numPr>
        <w:snapToGrid w:val="0"/>
        <w:spacing w:beforeLines="0" w:after="0" w:afterLines="50"/>
        <w:ind w:left="0" w:firstLine="0"/>
        <w:rPr>
          <w:rFonts w:hint="eastAsia" w:eastAsia="Times New Roman"/>
          <w:sz w:val="20"/>
          <w:szCs w:val="22"/>
          <w:u w:val="none"/>
          <w:lang w:val="en-US" w:eastAsia="zh-CN" w:bidi="ar"/>
        </w:rPr>
      </w:pPr>
      <w:r>
        <w:rPr>
          <w:b/>
          <w:i/>
          <w:sz w:val="20"/>
          <w:szCs w:val="22"/>
          <w:lang w:val="en-US" w:eastAsia="zh-CN"/>
        </w:rPr>
        <w:t xml:space="preserve">Proposal </w:t>
      </w:r>
      <w:r>
        <w:rPr>
          <w:rFonts w:hint="eastAsia"/>
          <w:b/>
          <w:i/>
          <w:sz w:val="20"/>
          <w:szCs w:val="22"/>
          <w:lang w:val="en-US" w:eastAsia="zh-CN"/>
        </w:rPr>
        <w:t>2:</w:t>
      </w:r>
      <w:r>
        <w:rPr>
          <w:rFonts w:hint="eastAsia"/>
          <w:b/>
          <w:i/>
          <w:iCs w:val="0"/>
          <w:sz w:val="20"/>
          <w:szCs w:val="22"/>
          <w:lang w:val="en-US" w:eastAsia="zh-CN"/>
        </w:rPr>
        <w:t xml:space="preserve"> </w:t>
      </w:r>
      <w:r>
        <w:rPr>
          <w:rFonts w:hint="eastAsia" w:eastAsia="Times New Roman"/>
          <w:i/>
          <w:sz w:val="20"/>
          <w:szCs w:val="22"/>
          <w:u w:val="none"/>
          <w:lang w:val="en-US" w:eastAsia="zh-CN" w:bidi="ar"/>
        </w:rPr>
        <w:t xml:space="preserve">Downlink symbols indicated by </w:t>
      </w:r>
      <w:r>
        <w:rPr>
          <w:rFonts w:hint="eastAsia" w:eastAsia="Times New Roman"/>
          <w:i/>
          <w:iCs w:val="0"/>
          <w:sz w:val="20"/>
          <w:szCs w:val="22"/>
          <w:u w:val="none"/>
          <w:lang w:val="en-US" w:eastAsia="zh-CN" w:bidi="ar"/>
        </w:rPr>
        <w:t>tdd-UL-DL-ConfigurationCommon</w:t>
      </w:r>
      <w:r>
        <w:rPr>
          <w:rFonts w:hint="eastAsia" w:eastAsia="Times New Roman"/>
          <w:i/>
          <w:sz w:val="20"/>
          <w:szCs w:val="22"/>
          <w:u w:val="none"/>
          <w:lang w:val="en-US" w:eastAsia="zh-CN" w:bidi="ar"/>
        </w:rPr>
        <w:t xml:space="preserve"> should be excluded from the reference uplink region</w:t>
      </w:r>
      <w:r>
        <w:rPr>
          <w:rFonts w:hint="eastAsia" w:eastAsia="Times New Roman"/>
          <w:i/>
          <w:iCs w:val="0"/>
          <w:sz w:val="20"/>
          <w:szCs w:val="22"/>
          <w:u w:val="none"/>
          <w:lang w:val="en-US" w:eastAsia="zh-CN" w:bidi="ar"/>
        </w:rPr>
        <w:t xml:space="preserve">. </w:t>
      </w:r>
    </w:p>
    <w:p>
      <w:pPr>
        <w:snapToGrid w:val="0"/>
        <w:spacing w:beforeLines="0" w:after="0" w:afterLines="50"/>
        <w:rPr>
          <w:rFonts w:hint="eastAsia" w:eastAsia="Times New Roman"/>
          <w:sz w:val="20"/>
          <w:szCs w:val="22"/>
          <w:lang w:val="en-US" w:eastAsia="zh-CN" w:bidi="ar"/>
        </w:rPr>
      </w:pPr>
      <w:r>
        <w:rPr>
          <w:rFonts w:hint="eastAsia" w:eastAsia="Times New Roman"/>
          <w:sz w:val="20"/>
          <w:szCs w:val="22"/>
          <w:lang w:val="en-US" w:eastAsia="zh-CN" w:bidi="ar"/>
        </w:rPr>
        <w:t xml:space="preserve">For RUR, the following two parameters should be defined in the time domain. </w:t>
      </w:r>
    </w:p>
    <w:p>
      <w:pPr>
        <w:numPr>
          <w:ilvl w:val="0"/>
          <w:numId w:val="16"/>
        </w:numPr>
        <w:snapToGrid w:val="0"/>
        <w:spacing w:beforeLines="0" w:after="0" w:afterLines="50"/>
        <w:ind w:left="840" w:hanging="420"/>
        <w:rPr>
          <w:rFonts w:hint="eastAsia" w:eastAsia="Times New Roman"/>
          <w:sz w:val="20"/>
          <w:szCs w:val="22"/>
          <w:lang w:val="en-US" w:eastAsia="zh-CN" w:bidi="ar"/>
        </w:rPr>
      </w:pPr>
      <w:r>
        <w:rPr>
          <w:rFonts w:hint="eastAsia" w:eastAsia="Times New Roman"/>
          <w:sz w:val="20"/>
          <w:szCs w:val="22"/>
          <w:lang w:val="en-US" w:eastAsia="zh-CN" w:bidi="ar"/>
        </w:rPr>
        <w:t>Starting point of RUR</w:t>
      </w:r>
    </w:p>
    <w:p>
      <w:pPr>
        <w:numPr>
          <w:ilvl w:val="0"/>
          <w:numId w:val="16"/>
        </w:numPr>
        <w:snapToGrid w:val="0"/>
        <w:spacing w:beforeLines="0" w:after="0" w:afterLines="50"/>
        <w:ind w:left="840" w:hanging="420"/>
        <w:rPr>
          <w:rFonts w:hint="eastAsia" w:eastAsia="Times New Roman"/>
          <w:sz w:val="20"/>
          <w:szCs w:val="22"/>
          <w:lang w:val="en-US" w:eastAsia="zh-CN" w:bidi="ar"/>
        </w:rPr>
      </w:pPr>
      <w:r>
        <w:rPr>
          <w:rFonts w:hint="eastAsia" w:eastAsia="Times New Roman"/>
          <w:sz w:val="20"/>
          <w:szCs w:val="22"/>
          <w:lang w:val="en-US" w:eastAsia="zh-CN" w:bidi="ar"/>
        </w:rPr>
        <w:t>Duration of RUR</w:t>
      </w:r>
    </w:p>
    <w:p>
      <w:pPr>
        <w:numPr>
          <w:ilvl w:val="-1"/>
          <w:numId w:val="0"/>
        </w:numPr>
        <w:snapToGrid w:val="0"/>
        <w:spacing w:beforeLines="0" w:after="0" w:afterLines="50"/>
        <w:ind w:left="0" w:firstLine="0"/>
        <w:rPr>
          <w:rFonts w:hint="eastAsia" w:eastAsia="Times New Roman"/>
          <w:sz w:val="20"/>
          <w:szCs w:val="22"/>
          <w:u w:val="none"/>
          <w:lang w:val="en-US" w:eastAsia="zh-CN" w:bidi="ar"/>
        </w:rPr>
      </w:pPr>
      <w:r>
        <w:rPr>
          <w:rFonts w:hint="eastAsia" w:eastAsia="Times New Roman"/>
          <w:sz w:val="20"/>
          <w:szCs w:val="22"/>
          <w:u w:val="none"/>
          <w:lang w:val="en-US" w:eastAsia="zh-CN" w:bidi="ar"/>
        </w:rPr>
        <w:t xml:space="preserve">It is agreed that the RUR starts from X symbols after the ending symbol of the PDCCH CORESET carrying the UL CI, where X is at least </w:t>
      </w:r>
      <w:bookmarkStart w:id="11" w:name="OLE_LINK5"/>
      <w:r>
        <w:rPr>
          <w:rFonts w:hint="eastAsia" w:eastAsia="Times New Roman"/>
          <w:sz w:val="20"/>
          <w:szCs w:val="22"/>
          <w:u w:val="none"/>
          <w:lang w:val="en-US" w:eastAsia="zh-CN" w:bidi="ar"/>
        </w:rPr>
        <w:t>equal to the minimum processing time for UL cancelation</w:t>
      </w:r>
      <w:bookmarkEnd w:id="11"/>
      <w:r>
        <w:rPr>
          <w:rFonts w:hint="eastAsia" w:eastAsia="Times New Roman"/>
          <w:sz w:val="20"/>
          <w:szCs w:val="22"/>
          <w:u w:val="none"/>
          <w:lang w:val="en-US" w:eastAsia="zh-CN" w:bidi="ar"/>
        </w:rPr>
        <w:t xml:space="preserve">. And FFS for whether X can be configured to be larger than the minimum processing time for UL cancelation. </w:t>
      </w:r>
    </w:p>
    <w:p>
      <w:pPr>
        <w:numPr>
          <w:ilvl w:val="-1"/>
          <w:numId w:val="0"/>
        </w:numPr>
        <w:snapToGrid w:val="0"/>
        <w:spacing w:beforeLines="0" w:after="0" w:afterLines="50"/>
        <w:ind w:left="0" w:firstLine="0"/>
        <w:rPr>
          <w:rFonts w:hint="eastAsia" w:eastAsia="Times New Roman"/>
          <w:sz w:val="20"/>
          <w:szCs w:val="22"/>
          <w:u w:val="none"/>
          <w:lang w:val="en-US" w:eastAsia="zh-CN" w:bidi="ar"/>
        </w:rPr>
      </w:pPr>
      <w:r>
        <w:rPr>
          <w:rFonts w:hint="eastAsia" w:eastAsia="Times New Roman"/>
          <w:sz w:val="20"/>
          <w:szCs w:val="22"/>
          <w:u w:val="none"/>
          <w:lang w:val="en-US" w:eastAsia="zh-CN" w:bidi="ar"/>
        </w:rPr>
        <w:t xml:space="preserve">Considering TDD cases with a low DL ratio, both semi-static flexible and UL resource should be included in the RUR for potential PUSCH scheduling. Some companies concerned that </w:t>
      </w:r>
      <w:r>
        <w:rPr>
          <w:rFonts w:hint="eastAsia" w:eastAsia="Times New Roman" w:cs="Times New Roman"/>
          <w:sz w:val="20"/>
          <w:szCs w:val="22"/>
          <w:u w:val="none"/>
          <w:vertAlign w:val="baseline"/>
          <w:lang w:val="en-US" w:eastAsia="zh-CN" w:bidi="ar"/>
        </w:rPr>
        <w:t xml:space="preserve">there may be no DL symbols to transmit UL CI corresponding to some of </w:t>
      </w:r>
      <w:r>
        <w:rPr>
          <w:rFonts w:hint="eastAsia" w:eastAsia="Times New Roman"/>
          <w:sz w:val="20"/>
          <w:szCs w:val="22"/>
          <w:u w:val="none"/>
          <w:lang w:val="en-US" w:eastAsia="zh-CN" w:bidi="ar"/>
        </w:rPr>
        <w:t xml:space="preserve">semi-static flexible and UL resource if X can only equal to the minimum processing time for UL cancelation. </w:t>
      </w:r>
    </w:p>
    <w:p>
      <w:pPr>
        <w:numPr>
          <w:ilvl w:val="-1"/>
          <w:numId w:val="0"/>
        </w:numPr>
        <w:snapToGrid w:val="0"/>
        <w:spacing w:beforeLines="0" w:after="0" w:afterLines="50"/>
        <w:ind w:left="0" w:firstLine="0"/>
        <w:rPr>
          <w:rFonts w:hint="eastAsia" w:eastAsia="Times New Roman"/>
          <w:sz w:val="20"/>
          <w:szCs w:val="22"/>
          <w:u w:val="none"/>
          <w:lang w:val="en-US" w:eastAsia="zh-CN" w:bidi="ar"/>
        </w:rPr>
      </w:pPr>
      <w:r>
        <w:rPr>
          <w:rFonts w:hint="eastAsia" w:eastAsia="Times New Roman"/>
          <w:sz w:val="20"/>
          <w:szCs w:val="22"/>
          <w:u w:val="none"/>
          <w:lang w:val="en-US" w:eastAsia="zh-CN" w:bidi="ar"/>
        </w:rPr>
        <w:t xml:space="preserve">Figure-3(a) gives a simple example, the RUR associated with the last UL CI in DL region is showed in purple dotted line box. Then, there will be no UL CI for indicating the last two UL slots. </w:t>
      </w:r>
    </w:p>
    <w:p>
      <w:pPr>
        <w:numPr>
          <w:ilvl w:val="-1"/>
          <w:numId w:val="0"/>
        </w:numPr>
        <w:snapToGrid w:val="0"/>
        <w:spacing w:beforeLines="0" w:after="0" w:afterLines="50"/>
        <w:ind w:left="0" w:firstLine="0"/>
        <w:jc w:val="center"/>
      </w:pPr>
      <w:r>
        <w:drawing>
          <wp:inline distT="0" distB="0" distL="114300" distR="114300">
            <wp:extent cx="4907280" cy="1156335"/>
            <wp:effectExtent l="0" t="0" r="7620" b="5715"/>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7"/>
                    <pic:cNvPicPr>
                      <a:picLocks noChangeAspect="1"/>
                    </pic:cNvPicPr>
                  </pic:nvPicPr>
                  <pic:blipFill>
                    <a:blip r:embed="rId8"/>
                    <a:stretch>
                      <a:fillRect/>
                    </a:stretch>
                  </pic:blipFill>
                  <pic:spPr>
                    <a:xfrm>
                      <a:off x="0" y="0"/>
                      <a:ext cx="4907280" cy="1156335"/>
                    </a:xfrm>
                    <a:prstGeom prst="rect">
                      <a:avLst/>
                    </a:prstGeom>
                    <a:noFill/>
                    <a:ln w="9525">
                      <a:noFill/>
                    </a:ln>
                  </pic:spPr>
                </pic:pic>
              </a:graphicData>
            </a:graphic>
          </wp:inline>
        </w:drawing>
      </w:r>
    </w:p>
    <w:p>
      <w:pPr>
        <w:numPr>
          <w:ilvl w:val="-1"/>
          <w:numId w:val="0"/>
        </w:numPr>
        <w:snapToGrid w:val="0"/>
        <w:spacing w:beforeLines="-2147483648" w:after="180" w:afterLines="50"/>
        <w:ind w:left="0" w:firstLine="0"/>
        <w:jc w:val="center"/>
        <w:rPr>
          <w:rFonts w:hint="default" w:eastAsia="Malgun Gothic"/>
          <w:b/>
          <w:sz w:val="20"/>
          <w:szCs w:val="22"/>
          <w:lang w:val="en-US" w:eastAsia="zh-CN"/>
        </w:rPr>
      </w:pPr>
      <w:r>
        <w:rPr>
          <w:rFonts w:hint="default" w:eastAsia="Malgun Gothic"/>
          <w:b/>
          <w:sz w:val="20"/>
          <w:szCs w:val="22"/>
          <w:lang w:val="en-US" w:eastAsia="zh-CN"/>
        </w:rPr>
        <w:t>Figure-3 Starting time and duration of RUR in TDD</w:t>
      </w:r>
    </w:p>
    <w:p>
      <w:pPr>
        <w:numPr>
          <w:ilvl w:val="-1"/>
          <w:numId w:val="0"/>
        </w:numPr>
        <w:snapToGrid w:val="0"/>
        <w:spacing w:beforeLines="0" w:after="0" w:afterLines="50"/>
        <w:ind w:left="0" w:firstLine="0"/>
        <w:rPr>
          <w:rFonts w:hint="eastAsia" w:eastAsia="Times New Roman"/>
          <w:sz w:val="20"/>
          <w:szCs w:val="22"/>
          <w:u w:val="none"/>
          <w:lang w:val="en-US" w:eastAsia="zh-CN" w:bidi="ar"/>
        </w:rPr>
      </w:pPr>
      <w:r>
        <w:rPr>
          <w:rFonts w:hint="eastAsia" w:eastAsia="Times New Roman"/>
          <w:sz w:val="20"/>
          <w:szCs w:val="22"/>
          <w:u w:val="none"/>
          <w:lang w:val="en-US" w:eastAsia="zh-CN" w:bidi="ar"/>
        </w:rPr>
        <w:t xml:space="preserve">One way was proposed to configure X to be larger than the minimum processing time for UL cancelation, which is showed in Figure-3(b). The RUR is postponed two slots by configuring X to K for covering the end of UL region. But, on the other hand, the first two flexible/UL slots will be excluded from the RUR. Similarly, </w:t>
      </w:r>
      <w:r>
        <w:rPr>
          <w:rFonts w:hint="eastAsia" w:eastAsia="Times New Roman" w:cs="Times New Roman"/>
          <w:sz w:val="20"/>
          <w:szCs w:val="22"/>
          <w:u w:val="none"/>
          <w:vertAlign w:val="baseline"/>
          <w:lang w:val="en-US" w:eastAsia="zh-CN" w:bidi="ar"/>
        </w:rPr>
        <w:t xml:space="preserve">there will be no DL symbols to transmit UL CI corresponding to </w:t>
      </w:r>
      <w:r>
        <w:rPr>
          <w:rFonts w:hint="eastAsia" w:eastAsia="Times New Roman"/>
          <w:sz w:val="20"/>
          <w:szCs w:val="22"/>
          <w:u w:val="none"/>
          <w:lang w:val="en-US" w:eastAsia="zh-CN" w:bidi="ar"/>
        </w:rPr>
        <w:t xml:space="preserve">the first two slots. This way seems not fully solved the issue here. </w:t>
      </w:r>
    </w:p>
    <w:p>
      <w:pPr>
        <w:numPr>
          <w:ilvl w:val="-1"/>
          <w:numId w:val="0"/>
        </w:numPr>
        <w:snapToGrid w:val="0"/>
        <w:spacing w:beforeLines="0" w:after="0" w:afterLines="50"/>
        <w:ind w:left="0" w:firstLine="0"/>
        <w:rPr>
          <w:rFonts w:hint="eastAsia" w:eastAsia="Times New Roman"/>
          <w:sz w:val="20"/>
          <w:szCs w:val="22"/>
          <w:u w:val="none"/>
          <w:lang w:val="en-US" w:eastAsia="zh-CN" w:bidi="ar"/>
        </w:rPr>
      </w:pPr>
      <w:bookmarkStart w:id="12" w:name="OLE_LINK7"/>
      <w:r>
        <w:rPr>
          <w:b/>
          <w:i/>
          <w:sz w:val="20"/>
          <w:lang w:val="en-US" w:eastAsia="zh-CN"/>
        </w:rPr>
        <w:t xml:space="preserve">Observation </w:t>
      </w:r>
      <w:r>
        <w:rPr>
          <w:rFonts w:hint="eastAsia"/>
          <w:b/>
          <w:i/>
          <w:sz w:val="20"/>
          <w:lang w:val="en-US" w:eastAsia="zh-CN"/>
        </w:rPr>
        <w:t>3:</w:t>
      </w:r>
      <w:r>
        <w:rPr>
          <w:rFonts w:hint="eastAsia"/>
          <w:b w:val="0"/>
          <w:bCs/>
          <w:i/>
          <w:sz w:val="20"/>
          <w:lang w:val="en-US" w:eastAsia="zh-CN"/>
        </w:rPr>
        <w:t xml:space="preserve"> It is not helpful to configure X to be larger than the minimum processing time for UL cancelation.</w:t>
      </w:r>
    </w:p>
    <w:bookmarkEnd w:id="12"/>
    <w:p>
      <w:pPr>
        <w:numPr>
          <w:ilvl w:val="-1"/>
          <w:numId w:val="0"/>
        </w:numPr>
        <w:snapToGrid w:val="0"/>
        <w:spacing w:beforeLines="0" w:after="0" w:afterLines="50"/>
        <w:ind w:left="0" w:firstLine="0"/>
        <w:rPr>
          <w:rFonts w:hint="eastAsia" w:eastAsia="Times New Roman"/>
          <w:sz w:val="20"/>
          <w:szCs w:val="22"/>
          <w:u w:val="none"/>
          <w:lang w:val="en-US" w:eastAsia="zh-CN" w:bidi="ar"/>
        </w:rPr>
      </w:pPr>
      <w:r>
        <w:rPr>
          <w:rFonts w:hint="eastAsia" w:eastAsia="Times New Roman"/>
          <w:sz w:val="20"/>
          <w:szCs w:val="22"/>
          <w:u w:val="none"/>
          <w:lang w:val="en-US" w:eastAsia="zh-CN" w:bidi="ar"/>
        </w:rPr>
        <w:t xml:space="preserve">Another straightforward way is to define a large enough duration for RUR as shown in Figure-3(c). The RUR will then cover the whole flexible and UL region. The only thing needs to be done is to define some larger candidate values for RUR duration, which can be configured in TDD cases via RRC signalling. So we have the following proposal. </w:t>
      </w:r>
    </w:p>
    <w:p>
      <w:pPr>
        <w:numPr>
          <w:ilvl w:val="-1"/>
          <w:numId w:val="0"/>
        </w:numPr>
        <w:snapToGrid w:val="0"/>
        <w:spacing w:beforeLines="0" w:after="0" w:afterLines="50"/>
        <w:ind w:left="0" w:firstLine="0"/>
        <w:rPr>
          <w:rFonts w:hint="eastAsia" w:eastAsia="Times New Roman"/>
          <w:i/>
          <w:iCs w:val="0"/>
          <w:sz w:val="20"/>
          <w:szCs w:val="22"/>
          <w:u w:val="none"/>
          <w:lang w:val="en-US" w:eastAsia="zh-CN" w:bidi="ar"/>
        </w:rPr>
      </w:pPr>
      <w:r>
        <w:rPr>
          <w:b/>
          <w:i/>
          <w:sz w:val="20"/>
          <w:szCs w:val="22"/>
          <w:lang w:val="en-US" w:eastAsia="zh-CN"/>
        </w:rPr>
        <w:t xml:space="preserve">Proposal </w:t>
      </w:r>
      <w:r>
        <w:rPr>
          <w:rFonts w:hint="eastAsia"/>
          <w:b/>
          <w:i/>
          <w:sz w:val="20"/>
          <w:szCs w:val="22"/>
          <w:lang w:val="en-US" w:eastAsia="zh-CN"/>
        </w:rPr>
        <w:t>3:</w:t>
      </w:r>
      <w:r>
        <w:rPr>
          <w:rFonts w:hint="eastAsia"/>
          <w:b/>
          <w:i/>
          <w:iCs w:val="0"/>
          <w:sz w:val="20"/>
          <w:szCs w:val="22"/>
          <w:lang w:val="en-US" w:eastAsia="zh-CN"/>
        </w:rPr>
        <w:t xml:space="preserve"> </w:t>
      </w:r>
      <w:r>
        <w:rPr>
          <w:rFonts w:hint="eastAsia" w:eastAsia="Times New Roman"/>
          <w:i/>
          <w:iCs w:val="0"/>
          <w:sz w:val="20"/>
          <w:szCs w:val="22"/>
          <w:u w:val="none"/>
          <w:lang w:val="en-US" w:eastAsia="zh-CN" w:bidi="ar"/>
        </w:rPr>
        <w:t xml:space="preserve">NR should at least support 28OS, 42OS and 56OS for duration of RUR. </w:t>
      </w:r>
    </w:p>
    <w:p>
      <w:pPr>
        <w:numPr>
          <w:ilvl w:val="-1"/>
          <w:numId w:val="0"/>
        </w:numPr>
        <w:snapToGrid w:val="0"/>
        <w:spacing w:beforeLines="0" w:after="0" w:afterLines="50"/>
        <w:ind w:left="0" w:firstLine="0"/>
        <w:rPr>
          <w:rFonts w:hint="default" w:eastAsia="Times New Roman"/>
          <w:bCs w:val="0"/>
          <w:i w:val="0"/>
          <w:iCs w:val="0"/>
          <w:sz w:val="20"/>
          <w:szCs w:val="22"/>
          <w:highlight w:val="none"/>
          <w:u w:val="none"/>
          <w:lang w:val="en-US" w:eastAsia="zh-CN" w:bidi="ar"/>
        </w:rPr>
      </w:pPr>
      <w:r>
        <w:rPr>
          <w:rFonts w:hint="eastAsia" w:eastAsia="Times New Roman"/>
          <w:sz w:val="20"/>
          <w:szCs w:val="22"/>
          <w:highlight w:val="none"/>
          <w:u w:val="none"/>
          <w:lang w:val="en-US" w:eastAsia="zh-CN" w:bidi="ar"/>
        </w:rPr>
        <w:t>A</w:t>
      </w:r>
      <w:r>
        <w:rPr>
          <w:rFonts w:hint="eastAsia" w:eastAsia="Times New Roman"/>
          <w:i w:val="0"/>
          <w:iCs w:val="0"/>
          <w:sz w:val="20"/>
          <w:szCs w:val="22"/>
          <w:highlight w:val="none"/>
          <w:u w:val="none"/>
          <w:lang w:val="en-US" w:eastAsia="zh-CN" w:bidi="ar"/>
        </w:rPr>
        <w:t xml:space="preserve">ccordingly, some larger bit field sizes for </w:t>
      </w:r>
      <w:r>
        <w:rPr>
          <w:rFonts w:hint="eastAsia" w:eastAsia="Times New Roman"/>
          <w:bCs w:val="0"/>
          <w:i w:val="0"/>
          <w:iCs w:val="0"/>
          <w:sz w:val="20"/>
          <w:szCs w:val="22"/>
          <w:highlight w:val="none"/>
          <w:u w:val="none"/>
          <w:lang w:val="en-US" w:eastAsia="zh-CN" w:bidi="ar"/>
        </w:rPr>
        <w:t xml:space="preserve">each UL cancelation indicator per serving cell are required for ensuring a </w:t>
      </w:r>
      <w:r>
        <w:rPr>
          <w:rFonts w:hint="eastAsia" w:eastAsia="Times New Roman"/>
          <w:i w:val="0"/>
          <w:iCs w:val="0"/>
          <w:sz w:val="20"/>
          <w:szCs w:val="22"/>
          <w:highlight w:val="none"/>
          <w:u w:val="none"/>
          <w:lang w:val="en-US" w:eastAsia="zh-CN" w:bidi="ar"/>
        </w:rPr>
        <w:t xml:space="preserve">sufficient </w:t>
      </w:r>
      <w:r>
        <w:rPr>
          <w:rFonts w:hint="eastAsia" w:ascii="Times New Roman" w:hAnsi="Times New Roman" w:eastAsia="Times New Roman" w:cs="Times New Roman"/>
          <w:b w:val="0"/>
          <w:i w:val="0"/>
          <w:iCs w:val="0"/>
          <w:caps w:val="0"/>
          <w:spacing w:val="0"/>
          <w:sz w:val="20"/>
          <w:szCs w:val="22"/>
          <w:highlight w:val="none"/>
          <w:u w:val="none"/>
          <w:shd w:val="clear"/>
          <w:lang w:val="en-US" w:eastAsia="zh-CN" w:bidi="ar"/>
        </w:rPr>
        <w:t xml:space="preserve">accuracy </w:t>
      </w:r>
      <w:r>
        <w:rPr>
          <w:rFonts w:hint="eastAsia" w:eastAsia="Times New Roman" w:cs="Times New Roman"/>
          <w:b w:val="0"/>
          <w:i w:val="0"/>
          <w:iCs w:val="0"/>
          <w:caps w:val="0"/>
          <w:spacing w:val="0"/>
          <w:sz w:val="20"/>
          <w:szCs w:val="22"/>
          <w:highlight w:val="none"/>
          <w:u w:val="none"/>
          <w:shd w:val="clear"/>
          <w:lang w:val="en-US" w:eastAsia="zh-CN" w:bidi="ar"/>
        </w:rPr>
        <w:t xml:space="preserve">of </w:t>
      </w:r>
      <w:r>
        <w:rPr>
          <w:rFonts w:hint="eastAsia" w:ascii="Times New Roman" w:hAnsi="Times New Roman" w:eastAsia="Times New Roman" w:cs="Times New Roman"/>
          <w:b w:val="0"/>
          <w:i w:val="0"/>
          <w:iCs w:val="0"/>
          <w:caps w:val="0"/>
          <w:spacing w:val="0"/>
          <w:sz w:val="20"/>
          <w:szCs w:val="22"/>
          <w:highlight w:val="none"/>
          <w:u w:val="none"/>
          <w:shd w:val="clear"/>
          <w:lang w:val="en-US" w:eastAsia="zh-CN" w:bidi="ar"/>
        </w:rPr>
        <w:t xml:space="preserve">cancelation resource </w:t>
      </w:r>
      <w:r>
        <w:rPr>
          <w:rFonts w:hint="eastAsia" w:eastAsia="Times New Roman"/>
          <w:i w:val="0"/>
          <w:iCs w:val="0"/>
          <w:sz w:val="20"/>
          <w:szCs w:val="22"/>
          <w:highlight w:val="none"/>
          <w:u w:val="none"/>
          <w:lang w:val="en-US" w:eastAsia="zh-CN" w:bidi="ar"/>
        </w:rPr>
        <w:t>indication under the configuration of long RUR duration.</w:t>
      </w:r>
      <w:r>
        <w:rPr>
          <w:rFonts w:hint="eastAsia" w:eastAsia="Times New Roman"/>
          <w:bCs w:val="0"/>
          <w:i w:val="0"/>
          <w:iCs w:val="0"/>
          <w:sz w:val="20"/>
          <w:szCs w:val="22"/>
          <w:highlight w:val="none"/>
          <w:u w:val="none"/>
          <w:lang w:val="en-US" w:eastAsia="zh-CN" w:bidi="ar"/>
        </w:rPr>
        <w:t xml:space="preserve"> In our view, except for the agreed 14bits, 21, 28bits</w:t>
      </w:r>
      <w:r>
        <w:rPr>
          <w:rFonts w:hint="eastAsia" w:eastAsia="Times New Roman"/>
          <w:i w:val="0"/>
          <w:iCs w:val="0"/>
          <w:sz w:val="20"/>
          <w:szCs w:val="22"/>
          <w:highlight w:val="none"/>
          <w:u w:val="none"/>
          <w:lang w:val="en-US" w:eastAsia="zh-CN" w:bidi="ar"/>
        </w:rPr>
        <w:t xml:space="preserve"> and 35bits can be additionally supported. </w:t>
      </w:r>
      <w:r>
        <w:rPr>
          <w:rFonts w:hint="eastAsia" w:eastAsia="Times New Roman"/>
          <w:bCs w:val="0"/>
          <w:i w:val="0"/>
          <w:iCs w:val="0"/>
          <w:sz w:val="20"/>
          <w:szCs w:val="22"/>
          <w:highlight w:val="none"/>
          <w:u w:val="none"/>
          <w:lang w:val="en-US" w:eastAsia="zh-CN" w:bidi="ar"/>
        </w:rPr>
        <w:t>For instance, 14, 21 and 28 bits, out of 21, 28</w:t>
      </w:r>
      <w:r>
        <w:rPr>
          <w:rFonts w:hint="eastAsia" w:eastAsia="Times New Roman"/>
          <w:i w:val="0"/>
          <w:iCs w:val="0"/>
          <w:sz w:val="20"/>
          <w:szCs w:val="22"/>
          <w:highlight w:val="none"/>
          <w:u w:val="none"/>
          <w:lang w:val="en-US" w:eastAsia="zh-CN" w:bidi="ar"/>
        </w:rPr>
        <w:t xml:space="preserve"> and 35bits respectively, are used for</w:t>
      </w:r>
      <w:r>
        <w:rPr>
          <w:rFonts w:hint="eastAsia" w:eastAsia="Times New Roman"/>
          <w:bCs w:val="0"/>
          <w:i w:val="0"/>
          <w:iCs w:val="0"/>
          <w:sz w:val="20"/>
          <w:szCs w:val="22"/>
          <w:highlight w:val="none"/>
          <w:u w:val="none"/>
          <w:lang w:val="en-US" w:eastAsia="zh-CN" w:bidi="ar"/>
        </w:rPr>
        <w:t xml:space="preserve"> time domain indication to accommodate the long RUR duration , and the remaining 7 bits are used for the 2-D bitmap dynamically.</w:t>
      </w:r>
    </w:p>
    <w:p>
      <w:pPr>
        <w:numPr>
          <w:ilvl w:val="-1"/>
          <w:numId w:val="0"/>
        </w:numPr>
        <w:snapToGrid w:val="0"/>
        <w:spacing w:beforeLines="0" w:after="0" w:afterLines="50"/>
        <w:ind w:left="0" w:firstLine="0"/>
        <w:rPr>
          <w:rFonts w:hint="eastAsia" w:eastAsia="Times New Roman"/>
          <w:i/>
          <w:iCs w:val="0"/>
          <w:sz w:val="20"/>
          <w:szCs w:val="22"/>
          <w:highlight w:val="none"/>
          <w:u w:val="none"/>
          <w:lang w:val="en-US" w:eastAsia="zh-CN" w:bidi="ar"/>
        </w:rPr>
      </w:pPr>
      <w:r>
        <w:rPr>
          <w:b/>
          <w:i/>
          <w:sz w:val="20"/>
          <w:szCs w:val="22"/>
          <w:highlight w:val="none"/>
          <w:lang w:val="en-US" w:eastAsia="zh-CN"/>
        </w:rPr>
        <w:t xml:space="preserve">Proposal </w:t>
      </w:r>
      <w:r>
        <w:rPr>
          <w:rFonts w:hint="eastAsia"/>
          <w:b/>
          <w:i/>
          <w:sz w:val="20"/>
          <w:szCs w:val="22"/>
          <w:highlight w:val="none"/>
          <w:lang w:val="en-US" w:eastAsia="zh-CN"/>
        </w:rPr>
        <w:t>4:</w:t>
      </w:r>
      <w:r>
        <w:rPr>
          <w:rFonts w:hint="eastAsia"/>
          <w:b/>
          <w:i/>
          <w:iCs w:val="0"/>
          <w:sz w:val="20"/>
          <w:szCs w:val="22"/>
          <w:highlight w:val="none"/>
          <w:lang w:val="en-US" w:eastAsia="zh-CN"/>
        </w:rPr>
        <w:t xml:space="preserve"> </w:t>
      </w:r>
      <w:r>
        <w:rPr>
          <w:rFonts w:hint="eastAsia" w:eastAsia="Times New Roman"/>
          <w:i/>
          <w:iCs w:val="0"/>
          <w:sz w:val="20"/>
          <w:szCs w:val="22"/>
          <w:highlight w:val="none"/>
          <w:u w:val="none"/>
          <w:lang w:val="en-US" w:eastAsia="zh-CN" w:bidi="ar"/>
        </w:rPr>
        <w:t xml:space="preserve">NR should at least support to configure X=21bits, </w:t>
      </w:r>
      <w:r>
        <w:rPr>
          <w:rFonts w:hint="eastAsia" w:eastAsia="Times New Roman"/>
          <w:bCs w:val="0"/>
          <w:i/>
          <w:iCs w:val="0"/>
          <w:sz w:val="20"/>
          <w:szCs w:val="22"/>
          <w:highlight w:val="none"/>
          <w:u w:val="none"/>
          <w:lang w:val="en-US" w:eastAsia="zh-CN" w:bidi="ar"/>
        </w:rPr>
        <w:t>28bits</w:t>
      </w:r>
      <w:r>
        <w:rPr>
          <w:rFonts w:hint="eastAsia" w:eastAsia="Times New Roman"/>
          <w:i/>
          <w:iCs w:val="0"/>
          <w:sz w:val="20"/>
          <w:szCs w:val="22"/>
          <w:highlight w:val="none"/>
          <w:u w:val="none"/>
          <w:lang w:val="en-US" w:eastAsia="zh-CN" w:bidi="ar"/>
        </w:rPr>
        <w:t xml:space="preserve"> and 35bits for bit </w:t>
      </w:r>
      <w:r>
        <w:rPr>
          <w:rFonts w:hint="eastAsia" w:eastAsia="Times New Roman"/>
          <w:i/>
          <w:sz w:val="20"/>
          <w:szCs w:val="22"/>
          <w:highlight w:val="none"/>
          <w:u w:val="none"/>
          <w:lang w:val="en-US" w:eastAsia="zh-CN" w:bidi="ar"/>
        </w:rPr>
        <w:t>field size</w:t>
      </w:r>
      <w:r>
        <w:rPr>
          <w:rFonts w:hint="eastAsia" w:eastAsia="Times New Roman"/>
          <w:i/>
          <w:iCs w:val="0"/>
          <w:sz w:val="20"/>
          <w:szCs w:val="22"/>
          <w:highlight w:val="none"/>
          <w:u w:val="none"/>
          <w:lang w:val="en-US" w:eastAsia="zh-CN" w:bidi="ar"/>
        </w:rPr>
        <w:t xml:space="preserve"> of </w:t>
      </w:r>
      <w:r>
        <w:rPr>
          <w:rFonts w:hint="eastAsia" w:eastAsia="Times New Roman"/>
          <w:bCs w:val="0"/>
          <w:i/>
          <w:iCs w:val="0"/>
          <w:sz w:val="20"/>
          <w:szCs w:val="22"/>
          <w:highlight w:val="none"/>
          <w:u w:val="none"/>
          <w:lang w:val="en-US" w:eastAsia="zh-CN" w:bidi="ar"/>
        </w:rPr>
        <w:t>each UL cancelation indicator per serving cell in addition to X=14bits</w:t>
      </w:r>
      <w:r>
        <w:rPr>
          <w:rFonts w:hint="eastAsia" w:eastAsia="Times New Roman"/>
          <w:i/>
          <w:iCs w:val="0"/>
          <w:sz w:val="20"/>
          <w:szCs w:val="22"/>
          <w:highlight w:val="none"/>
          <w:u w:val="none"/>
          <w:lang w:val="en-US" w:eastAsia="zh-CN" w:bidi="ar"/>
        </w:rPr>
        <w:t xml:space="preserve">. </w:t>
      </w:r>
    </w:p>
    <w:p>
      <w:pPr>
        <w:pStyle w:val="3"/>
        <w:rPr>
          <w:szCs w:val="22"/>
          <w:lang w:val="en-US" w:eastAsia="zh-CN"/>
        </w:rPr>
      </w:pPr>
      <w:r>
        <w:rPr>
          <w:rFonts w:cs="Times"/>
          <w:bCs/>
          <w:iCs/>
          <w:lang w:eastAsia="zh-CN"/>
        </w:rPr>
        <w:t>Conditions for</w:t>
      </w:r>
      <w:r>
        <w:rPr>
          <w:rFonts w:hint="eastAsia" w:cs="Times"/>
          <w:bCs/>
          <w:iCs/>
          <w:lang w:val="en-US" w:eastAsia="zh-CN"/>
        </w:rPr>
        <w:t xml:space="preserve"> </w:t>
      </w:r>
      <w:r>
        <w:rPr>
          <w:rFonts w:cs="Times"/>
          <w:bCs/>
          <w:iCs/>
          <w:lang w:eastAsia="zh-CN"/>
        </w:rPr>
        <w:t>eMBB UE monitoring</w:t>
      </w:r>
      <w:r>
        <w:rPr>
          <w:rFonts w:hint="eastAsia" w:cs="Times"/>
          <w:bCs/>
          <w:iCs/>
          <w:lang w:val="en-US" w:eastAsia="zh-CN"/>
        </w:rPr>
        <w:t xml:space="preserve"> </w:t>
      </w:r>
      <w:r>
        <w:rPr>
          <w:rFonts w:cs="Times"/>
          <w:bCs/>
          <w:iCs/>
          <w:lang w:eastAsia="zh-CN"/>
        </w:rPr>
        <w:t xml:space="preserve">UL CI </w:t>
      </w:r>
    </w:p>
    <w:p>
      <w:pPr>
        <w:snapToGrid w:val="0"/>
        <w:spacing w:afterLines="50"/>
        <w:rPr>
          <w:rFonts w:eastAsia="Times New Roman"/>
          <w:sz w:val="20"/>
          <w:szCs w:val="22"/>
          <w:lang w:val="en-US" w:eastAsia="zh-CN"/>
        </w:rPr>
      </w:pPr>
      <w:r>
        <w:rPr>
          <w:rFonts w:hint="eastAsia" w:eastAsia="Times New Roman"/>
          <w:sz w:val="20"/>
          <w:szCs w:val="22"/>
          <w:lang w:val="en-US" w:eastAsia="zh-CN"/>
        </w:rPr>
        <w:t xml:space="preserve">During RAN1#98 and RAN1#98bis meetings, conditions for eMBB UE monitoring UL CI were discussed. From our point of view, it is a straightforward way to define </w:t>
      </w:r>
      <w:r>
        <w:rPr>
          <w:rFonts w:hint="eastAsia" w:eastAsia="Times New Roman"/>
          <w:i w:val="0"/>
          <w:iCs w:val="0"/>
          <w:sz w:val="20"/>
          <w:szCs w:val="22"/>
          <w:lang w:val="en-US" w:eastAsia="zh-CN"/>
        </w:rPr>
        <w:t xml:space="preserve">UL CIs corresponding with RURs in which the eMBB UL transmission located as </w:t>
      </w:r>
      <w:r>
        <w:rPr>
          <w:rFonts w:hint="eastAsia" w:eastAsia="Times New Roman"/>
          <w:sz w:val="20"/>
          <w:szCs w:val="22"/>
          <w:lang w:val="en-US" w:eastAsia="zh-CN"/>
        </w:rPr>
        <w:t xml:space="preserve">valid UL CIs for </w:t>
      </w:r>
      <w:r>
        <w:rPr>
          <w:rFonts w:hint="eastAsia" w:eastAsia="Times New Roman"/>
          <w:i w:val="0"/>
          <w:iCs w:val="0"/>
          <w:sz w:val="20"/>
          <w:szCs w:val="22"/>
          <w:lang w:val="en-US" w:eastAsia="zh-CN"/>
        </w:rPr>
        <w:t xml:space="preserve">monitoring. </w:t>
      </w:r>
      <w:r>
        <w:rPr>
          <w:rFonts w:hint="eastAsia" w:eastAsia="Times New Roman"/>
          <w:sz w:val="20"/>
          <w:szCs w:val="22"/>
          <w:lang w:val="en-US" w:eastAsia="zh-CN"/>
        </w:rPr>
        <w:t xml:space="preserve">Each UL CI maps to a RUR, in which the scheduled resource of URLLC is indicated by the UL CI to eMBB UE. For example, upon detecting an UL CI on a PDCCH monitoring occasion, the time region of corresponding RUR starts from X symbols after the ending symbol of the PDCCH carrying the UL CI, where X is the minimum processing time for UL CI. So, as long as an UL transmission with or without associated PDCCH locates in one or more RURs, the eMBB UE should monitor all UL CIs corresponding with the one or more RURs. </w:t>
      </w:r>
      <w:bookmarkStart w:id="18" w:name="_GoBack"/>
      <w:bookmarkEnd w:id="18"/>
    </w:p>
    <w:p>
      <w:pPr>
        <w:snapToGrid w:val="0"/>
        <w:spacing w:afterLines="50"/>
        <w:rPr>
          <w:rFonts w:eastAsia="Times New Roman"/>
          <w:sz w:val="20"/>
          <w:szCs w:val="22"/>
          <w:lang w:val="en-US" w:eastAsia="zh-CN"/>
        </w:rPr>
      </w:pPr>
      <w:r>
        <w:rPr>
          <w:rFonts w:hint="eastAsia" w:eastAsia="Times New Roman"/>
          <w:sz w:val="20"/>
          <w:szCs w:val="22"/>
          <w:lang w:val="en-US" w:eastAsia="zh-CN"/>
        </w:rPr>
        <w:t xml:space="preserve">Figure-4 gives an example under the configuration of non-overlapping RURs. As shown in yellow box, scheduled eMBB PUSCH are overlapping with both RUR2 and RUR3. Then, UL CI2 and UL CI3 should be monitored by eMBB UE accordingly. </w:t>
      </w:r>
    </w:p>
    <w:p>
      <w:pPr>
        <w:jc w:val="center"/>
        <w:rPr>
          <w:sz w:val="21"/>
          <w:highlight w:val="yellow"/>
        </w:rPr>
      </w:pPr>
      <w:r>
        <w:rPr>
          <w:rFonts w:eastAsia="Times New Roman"/>
          <w:sz w:val="21"/>
        </w:rPr>
        <w:object>
          <v:shape id="_x0000_i1027" o:spt="75" type="#_x0000_t75" style="height:144pt;width:323.25pt;" o:ole="t" filled="f" o:preferrelative="t" stroked="f" coordsize="21600,21600">
            <v:path/>
            <v:fill on="f" focussize="0,0"/>
            <v:stroke on="f" joinstyle="miter"/>
            <v:imagedata r:id="rId10" o:title=""/>
            <o:lock v:ext="edit" aspectratio="f"/>
            <w10:wrap type="none"/>
            <w10:anchorlock/>
          </v:shape>
          <o:OLEObject Type="Embed" ProgID="Visio.Drawing.11" ShapeID="_x0000_i1027" DrawAspect="Content" ObjectID="_1468075727" r:id="rId9">
            <o:LockedField>false</o:LockedField>
          </o:OLEObject>
        </w:object>
      </w:r>
    </w:p>
    <w:p>
      <w:pPr>
        <w:numPr>
          <w:ilvl w:val="255"/>
          <w:numId w:val="0"/>
        </w:numPr>
        <w:snapToGrid w:val="0"/>
        <w:spacing w:afterLines="50" w:line="276" w:lineRule="auto"/>
        <w:jc w:val="center"/>
        <w:rPr>
          <w:b/>
          <w:sz w:val="20"/>
          <w:szCs w:val="22"/>
          <w:lang w:val="en-US" w:eastAsia="zh-CN"/>
        </w:rPr>
      </w:pPr>
      <w:r>
        <w:rPr>
          <w:b/>
          <w:sz w:val="20"/>
          <w:szCs w:val="22"/>
          <w:lang w:val="en-US" w:eastAsia="zh-CN"/>
        </w:rPr>
        <w:t>Figure-</w:t>
      </w:r>
      <w:r>
        <w:rPr>
          <w:rFonts w:hint="eastAsia"/>
          <w:b/>
          <w:sz w:val="20"/>
          <w:szCs w:val="22"/>
          <w:lang w:val="en-US" w:eastAsia="zh-CN"/>
        </w:rPr>
        <w:t>4</w:t>
      </w:r>
      <w:r>
        <w:rPr>
          <w:b/>
          <w:sz w:val="20"/>
          <w:szCs w:val="22"/>
          <w:lang w:val="en-US" w:eastAsia="zh-CN"/>
        </w:rPr>
        <w:t xml:space="preserve"> Example of non-overlapping RURs</w:t>
      </w:r>
    </w:p>
    <w:p>
      <w:pPr>
        <w:snapToGrid w:val="0"/>
        <w:spacing w:afterLines="50"/>
        <w:rPr>
          <w:rFonts w:eastAsia="Times New Roman"/>
          <w:sz w:val="20"/>
          <w:szCs w:val="22"/>
          <w:lang w:val="en-US" w:eastAsia="zh-CN"/>
        </w:rPr>
      </w:pPr>
      <w:r>
        <w:rPr>
          <w:rFonts w:hint="eastAsia" w:eastAsia="Times New Roman"/>
          <w:sz w:val="20"/>
          <w:szCs w:val="22"/>
          <w:lang w:val="en-US" w:eastAsia="zh-CN"/>
        </w:rPr>
        <w:t xml:space="preserve">Figure-5 gives another example under the configuration of overlapping RURs. As shown in yellow box, scheduled eMBB PUSCH are overlapping with RUR1, RUR2 and RUR3. Then, according to the same rule, UL CI1, UL CI2 and UL CI3 should be monitored by eMBB UE accordingly. </w:t>
      </w:r>
    </w:p>
    <w:p>
      <w:pPr>
        <w:snapToGrid w:val="0"/>
        <w:spacing w:afterLines="50"/>
        <w:rPr>
          <w:rFonts w:hint="eastAsia" w:eastAsia="Times New Roman"/>
          <w:sz w:val="20"/>
          <w:szCs w:val="22"/>
          <w:lang w:val="en-US" w:eastAsia="zh-CN"/>
        </w:rPr>
      </w:pPr>
      <w:r>
        <w:rPr>
          <w:rFonts w:hint="eastAsia" w:eastAsia="Times New Roman"/>
          <w:sz w:val="20"/>
          <w:szCs w:val="22"/>
          <w:lang w:val="en-US" w:eastAsia="zh-CN"/>
        </w:rPr>
        <w:t>Considering energy conservation from UE perspective, another way can be considered for further reducing UL CI monitoring overhead. That is, a UE starts monitoring UL CI at the latest monitoring occasion ending no later than X symbols before the start of the UL transmission, and X is related to UL CI processing time. In this manner, CI2 in Figure-5 will be defined as the starting monitoring occasion for UL CI monitoring. And it is meaningless for defining the end of UL CI monitoring occasion as both UE and gNB know CI4 corresponding with a RUR have no overlapping with eMBB PUSCH. So CI3 will be determined as the last UL CI for monitoring naturally. Then, the UE is required to monitor CI2 and CI3 in total.</w:t>
      </w:r>
    </w:p>
    <w:p>
      <w:pPr>
        <w:jc w:val="center"/>
        <w:rPr>
          <w:sz w:val="21"/>
        </w:rPr>
      </w:pPr>
      <w:r>
        <w:rPr>
          <w:rFonts w:hint="eastAsia" w:eastAsia="Times New Roman"/>
          <w:sz w:val="21"/>
        </w:rPr>
        <w:object>
          <v:shape id="_x0000_i1028" o:spt="75" type="#_x0000_t75" style="height:210.75pt;width:326.2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pPr>
        <w:numPr>
          <w:ilvl w:val="255"/>
          <w:numId w:val="0"/>
        </w:numPr>
        <w:snapToGrid w:val="0"/>
        <w:spacing w:afterLines="50" w:line="276" w:lineRule="auto"/>
        <w:jc w:val="center"/>
        <w:rPr>
          <w:b/>
          <w:sz w:val="20"/>
          <w:szCs w:val="22"/>
          <w:lang w:val="en-US" w:eastAsia="zh-CN"/>
        </w:rPr>
      </w:pPr>
      <w:r>
        <w:rPr>
          <w:b/>
          <w:sz w:val="20"/>
          <w:szCs w:val="22"/>
          <w:lang w:val="en-US" w:eastAsia="zh-CN"/>
        </w:rPr>
        <w:t>Figure-</w:t>
      </w:r>
      <w:r>
        <w:rPr>
          <w:rFonts w:hint="eastAsia"/>
          <w:b/>
          <w:sz w:val="20"/>
          <w:szCs w:val="22"/>
          <w:lang w:val="en-US" w:eastAsia="zh-CN"/>
        </w:rPr>
        <w:t>5</w:t>
      </w:r>
      <w:r>
        <w:rPr>
          <w:b/>
          <w:sz w:val="20"/>
          <w:szCs w:val="22"/>
          <w:lang w:val="en-US" w:eastAsia="zh-CN"/>
        </w:rPr>
        <w:t xml:space="preserve"> Example of overlapping RURs</w:t>
      </w:r>
    </w:p>
    <w:p>
      <w:pPr>
        <w:numPr>
          <w:ilvl w:val="-1"/>
          <w:numId w:val="0"/>
        </w:numPr>
        <w:snapToGrid w:val="0"/>
        <w:spacing w:afterLines="50" w:line="240" w:lineRule="auto"/>
        <w:jc w:val="both"/>
        <w:rPr>
          <w:rFonts w:hint="eastAsia" w:eastAsia="Times New Roman"/>
          <w:b w:val="0"/>
          <w:sz w:val="20"/>
          <w:szCs w:val="22"/>
          <w:lang w:val="en-US" w:eastAsia="zh-CN"/>
        </w:rPr>
      </w:pPr>
    </w:p>
    <w:p>
      <w:pPr>
        <w:numPr>
          <w:ilvl w:val="255"/>
          <w:numId w:val="0"/>
        </w:numPr>
        <w:overflowPunct w:val="0"/>
        <w:autoSpaceDE w:val="0"/>
        <w:autoSpaceDN w:val="0"/>
        <w:adjustRightInd w:val="0"/>
        <w:spacing w:afterLines="50" w:line="276" w:lineRule="auto"/>
        <w:textAlignment w:val="baseline"/>
        <w:rPr>
          <w:rFonts w:hint="default" w:eastAsia="Times New Roman"/>
          <w:i/>
          <w:iCs/>
          <w:sz w:val="20"/>
          <w:szCs w:val="22"/>
          <w:lang w:val="en-US" w:eastAsia="zh-CN"/>
        </w:rPr>
      </w:pPr>
      <w:r>
        <w:rPr>
          <w:b/>
          <w:i/>
          <w:sz w:val="20"/>
          <w:lang w:val="en-US" w:eastAsia="zh-CN"/>
        </w:rPr>
        <w:t xml:space="preserve">Proposal </w:t>
      </w:r>
      <w:r>
        <w:rPr>
          <w:rFonts w:hint="eastAsia"/>
          <w:b/>
          <w:i/>
          <w:sz w:val="20"/>
          <w:lang w:val="en-US" w:eastAsia="zh-CN"/>
        </w:rPr>
        <w:t>5</w:t>
      </w:r>
      <w:r>
        <w:rPr>
          <w:b/>
          <w:bCs/>
          <w:i/>
          <w:iCs/>
          <w:sz w:val="20"/>
          <w:lang w:val="en-US" w:eastAsia="zh-CN"/>
        </w:rPr>
        <w:t xml:space="preserve">: </w:t>
      </w:r>
      <w:r>
        <w:rPr>
          <w:rFonts w:hint="eastAsia"/>
          <w:i/>
          <w:iCs/>
          <w:sz w:val="20"/>
          <w:lang w:val="en-US" w:eastAsia="zh-CN"/>
        </w:rPr>
        <w:t xml:space="preserve">For </w:t>
      </w:r>
      <w:r>
        <w:rPr>
          <w:rFonts w:hint="eastAsia" w:eastAsia="Times New Roman"/>
          <w:i/>
          <w:iCs/>
          <w:sz w:val="20"/>
          <w:szCs w:val="22"/>
          <w:lang w:val="en-US" w:eastAsia="zh-CN"/>
        </w:rPr>
        <w:t>both cases of UL transmission with and without associated PDCCH, the follow options of UL CI monitoring conditions should be further considered.</w:t>
      </w:r>
    </w:p>
    <w:p>
      <w:pPr>
        <w:numPr>
          <w:ilvl w:val="0"/>
          <w:numId w:val="16"/>
        </w:numPr>
        <w:overflowPunct/>
        <w:autoSpaceDE/>
        <w:autoSpaceDN/>
        <w:adjustRightInd/>
        <w:snapToGrid w:val="0"/>
        <w:spacing w:beforeLines="0" w:after="0" w:afterLines="50" w:line="240" w:lineRule="auto"/>
        <w:ind w:left="840" w:hanging="420"/>
        <w:textAlignment w:val="auto"/>
        <w:rPr>
          <w:rFonts w:hint="eastAsia" w:eastAsia="Times New Roman"/>
          <w:i/>
          <w:iCs/>
          <w:sz w:val="20"/>
          <w:szCs w:val="22"/>
          <w:lang w:val="en-US" w:eastAsia="zh-CN" w:bidi="ar"/>
        </w:rPr>
      </w:pPr>
      <w:r>
        <w:rPr>
          <w:rFonts w:hint="eastAsia" w:eastAsia="Times New Roman"/>
          <w:i/>
          <w:iCs/>
          <w:sz w:val="20"/>
          <w:szCs w:val="22"/>
          <w:lang w:val="en-US" w:eastAsia="zh-CN" w:bidi="ar"/>
        </w:rPr>
        <w:t>Option1: A UE monitors UL CIs corresponding with RURs in which the eMBB UL transmission located;</w:t>
      </w:r>
    </w:p>
    <w:p>
      <w:pPr>
        <w:numPr>
          <w:ilvl w:val="0"/>
          <w:numId w:val="16"/>
        </w:numPr>
        <w:overflowPunct/>
        <w:autoSpaceDE/>
        <w:autoSpaceDN/>
        <w:adjustRightInd/>
        <w:snapToGrid w:val="0"/>
        <w:spacing w:beforeLines="0" w:after="0" w:afterLines="50" w:line="240" w:lineRule="auto"/>
        <w:ind w:left="840" w:hanging="420"/>
        <w:textAlignment w:val="auto"/>
        <w:rPr>
          <w:rFonts w:hint="eastAsia" w:eastAsia="Times New Roman"/>
          <w:i/>
          <w:iCs/>
          <w:sz w:val="20"/>
          <w:szCs w:val="22"/>
          <w:lang w:val="en-US" w:eastAsia="zh-CN" w:bidi="ar"/>
        </w:rPr>
      </w:pPr>
      <w:r>
        <w:rPr>
          <w:rFonts w:hint="eastAsia" w:eastAsia="Times New Roman"/>
          <w:i/>
          <w:iCs/>
          <w:sz w:val="20"/>
          <w:szCs w:val="22"/>
          <w:lang w:val="en-US" w:eastAsia="zh-CN" w:bidi="ar"/>
        </w:rPr>
        <w:t xml:space="preserve">Option2: A UE starts monitoring UL CI at the latest monitoring occasion ending no later than X symbols before the start of the UL transmission, and X is related to UL CI processing time. </w:t>
      </w:r>
    </w:p>
    <w:p>
      <w:pPr>
        <w:pStyle w:val="3"/>
        <w:rPr>
          <w:lang w:val="en-US" w:eastAsia="zh-CN"/>
        </w:rPr>
      </w:pPr>
      <w:r>
        <w:rPr>
          <w:rFonts w:hint="eastAsia" w:cs="Times"/>
          <w:bCs/>
          <w:iCs/>
          <w:lang w:val="en-US" w:eastAsia="zh-CN"/>
        </w:rPr>
        <w:t>N</w:t>
      </w:r>
      <w:r>
        <w:rPr>
          <w:rFonts w:cs="Times"/>
          <w:bCs/>
          <w:iCs/>
          <w:lang w:eastAsia="zh-CN"/>
        </w:rPr>
        <w:t>on-preempted</w:t>
      </w:r>
      <w:r>
        <w:rPr>
          <w:rFonts w:hint="eastAsia" w:cs="Times"/>
          <w:bCs/>
          <w:iCs/>
          <w:lang w:eastAsia="zh-CN"/>
        </w:rPr>
        <w:t xml:space="preserve"> resource</w:t>
      </w:r>
      <w:r>
        <w:rPr>
          <w:rFonts w:hint="eastAsia" w:cs="Times"/>
          <w:bCs/>
          <w:iCs/>
          <w:lang w:val="en-US" w:eastAsia="zh-CN"/>
        </w:rPr>
        <w:t xml:space="preserve"> after preempted range</w:t>
      </w:r>
    </w:p>
    <w:p>
      <w:pPr>
        <w:snapToGrid w:val="0"/>
        <w:spacing w:afterLines="50"/>
        <w:rPr>
          <w:rFonts w:eastAsia="Batang"/>
          <w:sz w:val="20"/>
          <w:lang w:val="en-US" w:eastAsia="zh-CN"/>
        </w:rPr>
      </w:pPr>
      <w:r>
        <w:rPr>
          <w:rFonts w:eastAsia="Batang"/>
          <w:sz w:val="20"/>
          <w:lang w:val="en-US" w:eastAsia="zh-CN"/>
        </w:rPr>
        <w:t>Figure-</w:t>
      </w:r>
      <w:r>
        <w:rPr>
          <w:rFonts w:hint="eastAsia" w:eastAsia="Batang"/>
          <w:sz w:val="20"/>
          <w:lang w:val="en-US" w:eastAsia="zh-CN"/>
        </w:rPr>
        <w:t>6</w:t>
      </w:r>
      <w:r>
        <w:rPr>
          <w:rFonts w:eastAsia="Batang"/>
          <w:sz w:val="20"/>
          <w:lang w:val="en-US" w:eastAsia="zh-CN"/>
        </w:rPr>
        <w:t xml:space="preserve"> gives an example</w:t>
      </w:r>
      <w:r>
        <w:rPr>
          <w:rFonts w:hint="eastAsia" w:eastAsia="Batang"/>
          <w:sz w:val="20"/>
          <w:lang w:val="en-US" w:eastAsia="zh-CN"/>
        </w:rPr>
        <w:t xml:space="preserve"> of canceling </w:t>
      </w:r>
      <w:r>
        <w:rPr>
          <w:rFonts w:eastAsia="Batang"/>
          <w:sz w:val="20"/>
          <w:lang w:val="en-US" w:eastAsia="zh-CN"/>
        </w:rPr>
        <w:t xml:space="preserve">an on-going </w:t>
      </w:r>
      <w:r>
        <w:rPr>
          <w:rFonts w:hint="eastAsia" w:eastAsia="Batang"/>
          <w:sz w:val="20"/>
          <w:lang w:val="en-US" w:eastAsia="zh-CN"/>
        </w:rPr>
        <w:t xml:space="preserve">eMBB </w:t>
      </w:r>
      <w:r>
        <w:rPr>
          <w:rFonts w:eastAsia="Batang"/>
          <w:sz w:val="20"/>
          <w:lang w:val="en-US" w:eastAsia="zh-CN"/>
        </w:rPr>
        <w:t>UL transmission</w:t>
      </w:r>
      <w:r>
        <w:rPr>
          <w:rFonts w:hint="eastAsia" w:eastAsia="Batang"/>
          <w:sz w:val="20"/>
          <w:lang w:val="en-US" w:eastAsia="zh-CN"/>
        </w:rPr>
        <w:t>.</w:t>
      </w:r>
      <w:r>
        <w:rPr>
          <w:rFonts w:eastAsia="Batang"/>
          <w:sz w:val="20"/>
          <w:lang w:val="en-US" w:eastAsia="zh-CN"/>
        </w:rPr>
        <w:t xml:space="preserve"> </w:t>
      </w:r>
      <w:r>
        <w:rPr>
          <w:rFonts w:hint="eastAsia" w:eastAsia="Batang"/>
          <w:sz w:val="20"/>
          <w:lang w:val="en-US" w:eastAsia="zh-CN"/>
        </w:rPr>
        <w:t>T</w:t>
      </w:r>
      <w:r>
        <w:rPr>
          <w:rFonts w:eastAsia="Batang"/>
          <w:sz w:val="20"/>
          <w:lang w:val="en-US" w:eastAsia="zh-CN"/>
        </w:rPr>
        <w:t>he scheduling granularity for eMBB is typically set to slot level(e.g. 14OS)</w:t>
      </w:r>
      <w:r>
        <w:rPr>
          <w:rFonts w:hint="eastAsia" w:eastAsia="Batang"/>
          <w:sz w:val="20"/>
          <w:lang w:val="en-US" w:eastAsia="zh-CN"/>
        </w:rPr>
        <w:t>.</w:t>
      </w:r>
      <w:r>
        <w:rPr>
          <w:rFonts w:eastAsia="Batang"/>
          <w:sz w:val="20"/>
          <w:lang w:val="en-US" w:eastAsia="zh-CN"/>
        </w:rPr>
        <w:t xml:space="preserve"> </w:t>
      </w:r>
      <w:r>
        <w:rPr>
          <w:rFonts w:hint="eastAsia" w:eastAsia="Batang"/>
          <w:sz w:val="20"/>
          <w:lang w:val="en-US" w:eastAsia="zh-CN"/>
        </w:rPr>
        <w:t>W</w:t>
      </w:r>
      <w:r>
        <w:rPr>
          <w:rFonts w:eastAsia="Batang"/>
          <w:sz w:val="20"/>
          <w:lang w:val="en-US" w:eastAsia="zh-CN"/>
        </w:rPr>
        <w:t>hile for URLLC traffic, mini-slot(e.g. 2OS) scheduling as shown in red dotted box is used in order to achieve latency reduction. Then, the fifth and sixth symbols of eMBB transmission are preempted</w:t>
      </w:r>
      <w:r>
        <w:rPr>
          <w:rFonts w:hint="eastAsia" w:eastAsia="Batang"/>
          <w:sz w:val="20"/>
          <w:lang w:val="en-US" w:eastAsia="zh-CN"/>
        </w:rPr>
        <w:t>.</w:t>
      </w:r>
      <w:r>
        <w:rPr>
          <w:rFonts w:eastAsia="Batang"/>
          <w:sz w:val="20"/>
          <w:lang w:val="en-US" w:eastAsia="zh-CN"/>
        </w:rPr>
        <w:t xml:space="preserve"> </w:t>
      </w:r>
      <w:r>
        <w:rPr>
          <w:rFonts w:hint="eastAsia" w:eastAsia="Batang"/>
          <w:sz w:val="20"/>
          <w:lang w:val="en-US" w:eastAsia="zh-CN"/>
        </w:rPr>
        <w:t xml:space="preserve">One remaining issue is how to reuse </w:t>
      </w:r>
      <w:r>
        <w:rPr>
          <w:rFonts w:eastAsia="Batang"/>
          <w:sz w:val="20"/>
          <w:lang w:val="en-US" w:eastAsia="zh-CN"/>
        </w:rPr>
        <w:t xml:space="preserve">the </w:t>
      </w:r>
      <w:r>
        <w:rPr>
          <w:rFonts w:hint="eastAsia" w:eastAsia="Batang"/>
          <w:sz w:val="20"/>
          <w:lang w:val="en-US" w:eastAsia="zh-CN"/>
        </w:rPr>
        <w:t>non-preempted resource after preempted range</w:t>
      </w:r>
      <w:r>
        <w:rPr>
          <w:rFonts w:eastAsia="Batang"/>
          <w:sz w:val="20"/>
          <w:lang w:val="en-US" w:eastAsia="zh-CN"/>
        </w:rPr>
        <w:t xml:space="preserve">. </w:t>
      </w:r>
    </w:p>
    <w:p>
      <w:pPr>
        <w:snapToGrid w:val="0"/>
        <w:spacing w:afterLines="50"/>
        <w:jc w:val="center"/>
        <w:rPr>
          <w:sz w:val="21"/>
        </w:rPr>
      </w:pPr>
      <w:r>
        <w:rPr>
          <w:rFonts w:hint="eastAsia" w:eastAsia="Times New Roman"/>
          <w:sz w:val="21"/>
        </w:rPr>
        <w:object>
          <v:shape id="_x0000_i1029" o:spt="75" type="#_x0000_t75" style="height:192pt;width:323.25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p>
    <w:p>
      <w:pPr>
        <w:snapToGrid w:val="0"/>
        <w:spacing w:afterLines="50" w:line="23" w:lineRule="atLeast"/>
        <w:jc w:val="center"/>
        <w:rPr>
          <w:b/>
          <w:sz w:val="20"/>
          <w:lang w:val="en-US" w:eastAsia="zh-CN"/>
        </w:rPr>
      </w:pPr>
      <w:r>
        <w:rPr>
          <w:b/>
          <w:sz w:val="20"/>
          <w:lang w:val="en-US" w:eastAsia="zh-CN"/>
        </w:rPr>
        <w:t>Figure-</w:t>
      </w:r>
      <w:r>
        <w:rPr>
          <w:rFonts w:hint="eastAsia"/>
          <w:b/>
          <w:sz w:val="20"/>
          <w:lang w:val="en-US" w:eastAsia="zh-CN"/>
        </w:rPr>
        <w:t>6</w:t>
      </w:r>
      <w:r>
        <w:rPr>
          <w:b/>
          <w:sz w:val="20"/>
          <w:lang w:val="en-US" w:eastAsia="zh-CN"/>
        </w:rPr>
        <w:t xml:space="preserve"> Resuming issue of UL cancelation </w:t>
      </w:r>
      <w:r>
        <w:rPr>
          <w:rFonts w:hint="eastAsia"/>
          <w:b/>
          <w:sz w:val="20"/>
          <w:lang w:val="en-US" w:eastAsia="zh-CN"/>
        </w:rPr>
        <w:t>mechanism</w:t>
      </w:r>
    </w:p>
    <w:p>
      <w:pPr>
        <w:snapToGrid w:val="0"/>
        <w:spacing w:afterLines="50"/>
        <w:rPr>
          <w:rFonts w:eastAsia="Times New Roman"/>
          <w:sz w:val="20"/>
          <w:szCs w:val="22"/>
          <w:lang w:val="en-US" w:eastAsia="zh-CN"/>
        </w:rPr>
      </w:pPr>
      <w:r>
        <w:rPr>
          <w:rFonts w:hint="eastAsia" w:eastAsia="Batang"/>
          <w:sz w:val="20"/>
          <w:szCs w:val="22"/>
          <w:lang w:val="en-US" w:eastAsia="zh-CN"/>
        </w:rPr>
        <w:t xml:space="preserve">It is obvious that </w:t>
      </w:r>
      <w:r>
        <w:rPr>
          <w:rFonts w:eastAsia="Batang"/>
          <w:sz w:val="20"/>
          <w:szCs w:val="22"/>
          <w:lang w:val="en-US" w:eastAsia="zh-CN"/>
        </w:rPr>
        <w:t xml:space="preserve">resources efficiency </w:t>
      </w:r>
      <w:r>
        <w:rPr>
          <w:rFonts w:hint="eastAsia" w:eastAsia="Batang"/>
          <w:sz w:val="20"/>
          <w:szCs w:val="22"/>
          <w:lang w:val="en-US" w:eastAsia="zh-CN"/>
        </w:rPr>
        <w:t xml:space="preserve">of the preempted eMBB UE </w:t>
      </w:r>
      <w:r>
        <w:rPr>
          <w:rFonts w:eastAsia="Batang"/>
          <w:sz w:val="20"/>
          <w:szCs w:val="22"/>
          <w:lang w:val="en-US" w:eastAsia="zh-CN"/>
        </w:rPr>
        <w:t>will be significantly influence</w:t>
      </w:r>
      <w:r>
        <w:rPr>
          <w:rFonts w:hint="eastAsia" w:eastAsia="Batang"/>
          <w:sz w:val="20"/>
          <w:szCs w:val="22"/>
          <w:lang w:val="en-US" w:eastAsia="zh-CN"/>
        </w:rPr>
        <w:t>d</w:t>
      </w:r>
      <w:r>
        <w:rPr>
          <w:rFonts w:eastAsia="Batang"/>
          <w:sz w:val="20"/>
          <w:szCs w:val="22"/>
          <w:lang w:val="en-US" w:eastAsia="zh-CN"/>
        </w:rPr>
        <w:t xml:space="preserve"> </w:t>
      </w:r>
      <w:r>
        <w:rPr>
          <w:rFonts w:hint="eastAsia" w:eastAsia="Batang"/>
          <w:sz w:val="20"/>
          <w:szCs w:val="22"/>
          <w:lang w:val="en-US" w:eastAsia="zh-CN"/>
        </w:rPr>
        <w:t xml:space="preserve">if only cancelation without resuming is supported. Then, generating a new TB by the preempted eMBB UE after receiving UL CI and transmitting it in the non-preempted resource can be considered as a way. There will be </w:t>
      </w:r>
      <w:r>
        <w:rPr>
          <w:rFonts w:hint="eastAsia" w:eastAsia="Times New Roman"/>
          <w:sz w:val="20"/>
          <w:szCs w:val="22"/>
          <w:lang w:val="en-US" w:eastAsia="zh-CN"/>
        </w:rPr>
        <w:t xml:space="preserve">no phase continuity issue and performance influence to the preempted eMBB UE will be reduced to some extent. </w:t>
      </w:r>
    </w:p>
    <w:p>
      <w:pPr>
        <w:snapToGrid w:val="0"/>
        <w:spacing w:afterLines="50"/>
        <w:rPr>
          <w:rFonts w:eastAsia="Times New Roman"/>
          <w:sz w:val="20"/>
          <w:szCs w:val="22"/>
          <w:lang w:val="en-US" w:eastAsia="zh-CN"/>
        </w:rPr>
      </w:pPr>
      <w:r>
        <w:rPr>
          <w:rFonts w:hint="eastAsia" w:eastAsia="Times New Roman"/>
          <w:sz w:val="20"/>
          <w:szCs w:val="22"/>
          <w:lang w:val="en-US" w:eastAsia="zh-CN"/>
        </w:rPr>
        <w:t xml:space="preserve">No new UL grant is needed for the new TB due to most grant information in the original UL grant can be reused. Some other fields, e.g. time/frequency domain resource allocation can be deduced from the original allocation and UL CI. </w:t>
      </w:r>
    </w:p>
    <w:p>
      <w:pPr>
        <w:snapToGrid w:val="0"/>
        <w:spacing w:afterLines="50"/>
        <w:rPr>
          <w:i/>
          <w:iCs/>
          <w:sz w:val="20"/>
          <w:lang w:val="en-US" w:eastAsia="zh-CN"/>
        </w:rPr>
      </w:pPr>
      <w:r>
        <w:rPr>
          <w:b/>
          <w:i/>
          <w:sz w:val="20"/>
          <w:lang w:val="en-US" w:eastAsia="zh-CN"/>
        </w:rPr>
        <w:t xml:space="preserve">Proposal </w:t>
      </w:r>
      <w:r>
        <w:rPr>
          <w:rFonts w:hint="eastAsia"/>
          <w:b/>
          <w:i/>
          <w:sz w:val="20"/>
          <w:lang w:val="en-US" w:eastAsia="zh-CN"/>
        </w:rPr>
        <w:t>6</w:t>
      </w:r>
      <w:r>
        <w:rPr>
          <w:b/>
          <w:bCs/>
          <w:i/>
          <w:iCs/>
          <w:sz w:val="20"/>
          <w:lang w:val="en-US" w:eastAsia="zh-CN"/>
        </w:rPr>
        <w:t>:</w:t>
      </w:r>
      <w:r>
        <w:rPr>
          <w:i/>
          <w:iCs/>
          <w:sz w:val="20"/>
          <w:lang w:val="en-US" w:eastAsia="zh-CN"/>
        </w:rPr>
        <w:t xml:space="preserve"> For improving resource efficien</w:t>
      </w:r>
      <w:r>
        <w:rPr>
          <w:i/>
          <w:iCs/>
          <w:sz w:val="20"/>
          <w:szCs w:val="22"/>
          <w:lang w:val="en-US" w:eastAsia="zh-CN"/>
        </w:rPr>
        <w:t xml:space="preserve">cy, </w:t>
      </w:r>
      <w:r>
        <w:rPr>
          <w:rFonts w:eastAsia="宋体"/>
          <w:i/>
          <w:iCs/>
          <w:sz w:val="20"/>
          <w:szCs w:val="22"/>
          <w:lang w:val="en-US" w:eastAsia="zh-CN"/>
        </w:rPr>
        <w:t xml:space="preserve">the preempted eMBB UE can generate a new TB and transmit it in the remaining resource without introducing a new UL grant. </w:t>
      </w:r>
    </w:p>
    <w:p>
      <w:pPr>
        <w:pStyle w:val="2"/>
        <w:rPr>
          <w:lang w:val="en-US" w:eastAsia="zh-CN"/>
        </w:rPr>
      </w:pPr>
      <w:r>
        <w:rPr>
          <w:rFonts w:hint="eastAsia"/>
          <w:lang w:val="en-US" w:eastAsia="zh-CN"/>
        </w:rPr>
        <w:t xml:space="preserve">Remaining issue of </w:t>
      </w:r>
      <w:bookmarkStart w:id="13" w:name="OLE_LINK13"/>
      <w:r>
        <w:rPr>
          <w:rFonts w:hint="eastAsia"/>
          <w:lang w:val="en-US" w:eastAsia="zh-CN"/>
        </w:rPr>
        <w:t xml:space="preserve">UL power control </w:t>
      </w:r>
      <w:r>
        <w:rPr>
          <w:rFonts w:hint="eastAsia"/>
          <w:lang w:eastAsia="zh-CN"/>
        </w:rPr>
        <w:t>mechanism</w:t>
      </w:r>
      <w:bookmarkEnd w:id="13"/>
    </w:p>
    <w:p>
      <w:pPr>
        <w:spacing w:afterLines="50" w:line="276" w:lineRule="auto"/>
        <w:rPr>
          <w:rFonts w:eastAsia="Malgun Gothic"/>
          <w:bCs w:val="0"/>
          <w:iCs w:val="0"/>
          <w:sz w:val="20"/>
          <w:szCs w:val="22"/>
          <w:lang w:val="en-US" w:eastAsia="zh-CN"/>
        </w:rPr>
      </w:pPr>
      <w:r>
        <w:rPr>
          <w:rFonts w:hint="default"/>
          <w:sz w:val="20"/>
          <w:szCs w:val="22"/>
          <w:lang w:val="en-US" w:eastAsia="zh-CN"/>
        </w:rPr>
        <w:t xml:space="preserve">During RAN1#98bis meeting, </w:t>
      </w:r>
      <w:r>
        <w:rPr>
          <w:rFonts w:eastAsia="Malgun Gothic"/>
          <w:sz w:val="20"/>
          <w:szCs w:val="22"/>
          <w:lang w:val="en-US" w:eastAsia="zh-CN"/>
        </w:rPr>
        <w:t>one new RRC parameter contain</w:t>
      </w:r>
      <w:r>
        <w:rPr>
          <w:rFonts w:hint="eastAsia"/>
          <w:sz w:val="20"/>
          <w:szCs w:val="22"/>
          <w:lang w:val="en-US" w:eastAsia="zh-CN"/>
        </w:rPr>
        <w:t>ing</w:t>
      </w:r>
      <w:r>
        <w:rPr>
          <w:rFonts w:eastAsia="Malgun Gothic"/>
          <w:sz w:val="20"/>
          <w:szCs w:val="22"/>
          <w:lang w:val="en-US" w:eastAsia="zh-CN"/>
        </w:rPr>
        <w:t xml:space="preserve"> one additional </w:t>
      </w:r>
      <w:r>
        <w:rPr>
          <w:rFonts w:eastAsia="Malgun Gothic"/>
          <w:i/>
          <w:iCs/>
          <w:sz w:val="20"/>
          <w:szCs w:val="22"/>
          <w:lang w:val="en-US" w:eastAsia="zh-CN"/>
        </w:rPr>
        <w:t>P0-PUSCH-Set</w:t>
      </w:r>
      <w:r>
        <w:rPr>
          <w:rFonts w:eastAsia="Malgun Gothic"/>
          <w:sz w:val="20"/>
          <w:szCs w:val="22"/>
          <w:lang w:val="en-US" w:eastAsia="zh-CN"/>
        </w:rPr>
        <w:t xml:space="preserve"> per SRI</w:t>
      </w:r>
      <w:r>
        <w:rPr>
          <w:rFonts w:hint="eastAsia"/>
          <w:sz w:val="20"/>
          <w:szCs w:val="22"/>
          <w:lang w:val="en-US" w:eastAsia="zh-CN"/>
        </w:rPr>
        <w:t xml:space="preserve"> was agreed to be introduced f</w:t>
      </w:r>
      <w:r>
        <w:rPr>
          <w:rFonts w:hint="default" w:eastAsia="Malgun Gothic"/>
          <w:bCs w:val="0"/>
          <w:iCs w:val="0"/>
          <w:sz w:val="20"/>
          <w:szCs w:val="22"/>
          <w:lang w:val="en-US" w:eastAsia="zh-CN"/>
        </w:rPr>
        <w:t>or DG-PUSCH</w:t>
      </w:r>
      <w:r>
        <w:rPr>
          <w:rFonts w:hint="eastAsia"/>
          <w:bCs w:val="0"/>
          <w:iCs w:val="0"/>
          <w:sz w:val="20"/>
          <w:szCs w:val="22"/>
          <w:lang w:val="en-US" w:eastAsia="zh-CN"/>
        </w:rPr>
        <w:t>.</w:t>
      </w:r>
      <w:r>
        <w:rPr>
          <w:rFonts w:hint="default" w:eastAsia="Malgun Gothic"/>
          <w:bCs w:val="0"/>
          <w:iCs w:val="0"/>
          <w:sz w:val="20"/>
          <w:szCs w:val="22"/>
          <w:lang w:val="en-US" w:eastAsia="zh-CN"/>
        </w:rPr>
        <w:t xml:space="preserve"> </w:t>
      </w:r>
      <w:r>
        <w:rPr>
          <w:rFonts w:hint="eastAsia"/>
          <w:bCs w:val="0"/>
          <w:iCs w:val="0"/>
          <w:sz w:val="20"/>
          <w:szCs w:val="22"/>
          <w:lang w:val="en-US" w:eastAsia="zh-CN"/>
        </w:rPr>
        <w:t xml:space="preserve">And </w:t>
      </w:r>
      <w:r>
        <w:rPr>
          <w:rFonts w:hint="default" w:eastAsia="Malgun Gothic"/>
          <w:bCs w:val="0"/>
          <w:iCs w:val="0"/>
          <w:sz w:val="20"/>
          <w:szCs w:val="22"/>
          <w:lang w:val="en-US" w:eastAsia="zh-CN"/>
        </w:rPr>
        <w:t xml:space="preserve">one bit (separately from SRI) in UL grant is used to </w:t>
      </w:r>
      <w:r>
        <w:rPr>
          <w:rFonts w:eastAsia="Malgun Gothic"/>
          <w:sz w:val="20"/>
          <w:szCs w:val="22"/>
          <w:lang w:val="en-US" w:eastAsia="zh-CN"/>
        </w:rPr>
        <w:t xml:space="preserve">switch between the P0 value from the existing </w:t>
      </w:r>
      <w:r>
        <w:rPr>
          <w:rFonts w:eastAsia="Malgun Gothic"/>
          <w:i/>
          <w:iCs/>
          <w:sz w:val="20"/>
          <w:szCs w:val="22"/>
          <w:lang w:val="en-US" w:eastAsia="zh-CN"/>
        </w:rPr>
        <w:t>P0-PUSCH-AlphaSet</w:t>
      </w:r>
      <w:r>
        <w:rPr>
          <w:rFonts w:eastAsia="Malgun Gothic"/>
          <w:sz w:val="20"/>
          <w:szCs w:val="22"/>
          <w:lang w:val="en-US" w:eastAsia="zh-CN"/>
        </w:rPr>
        <w:t xml:space="preserve"> and the P0 value from the newly configured </w:t>
      </w:r>
      <w:r>
        <w:rPr>
          <w:rFonts w:eastAsia="Malgun Gothic"/>
          <w:i/>
          <w:iCs/>
          <w:sz w:val="20"/>
          <w:szCs w:val="22"/>
          <w:lang w:val="en-US" w:eastAsia="zh-CN"/>
        </w:rPr>
        <w:t>P0-PUSCH-Set</w:t>
      </w:r>
      <w:r>
        <w:rPr>
          <w:rFonts w:hint="eastAsia"/>
          <w:bCs w:val="0"/>
          <w:iCs w:val="0"/>
          <w:sz w:val="20"/>
          <w:szCs w:val="22"/>
          <w:lang w:val="en-US" w:eastAsia="zh-CN"/>
        </w:rPr>
        <w:t xml:space="preserve">. </w:t>
      </w:r>
    </w:p>
    <w:p>
      <w:pPr>
        <w:spacing w:afterLines="50" w:line="276" w:lineRule="auto"/>
        <w:rPr>
          <w:rFonts w:hint="eastAsia" w:eastAsia="Malgun Gothic"/>
          <w:sz w:val="20"/>
          <w:szCs w:val="22"/>
          <w:lang w:val="en-US" w:eastAsia="zh-CN"/>
        </w:rPr>
      </w:pPr>
      <w:r>
        <w:rPr>
          <w:rFonts w:hint="eastAsia"/>
          <w:sz w:val="20"/>
          <w:szCs w:val="22"/>
          <w:lang w:val="en-US" w:eastAsia="zh-CN"/>
        </w:rPr>
        <w:t xml:space="preserve">If the PUSCH transmission is scheduled by </w:t>
      </w:r>
      <w:bookmarkStart w:id="14" w:name="OLE_LINK1"/>
      <w:r>
        <w:rPr>
          <w:rFonts w:hint="eastAsia"/>
          <w:sz w:val="20"/>
          <w:szCs w:val="22"/>
          <w:lang w:val="en-US" w:eastAsia="zh-CN"/>
        </w:rPr>
        <w:t>a DCI format th</w:t>
      </w:r>
      <w:r>
        <w:rPr>
          <w:rFonts w:hint="default" w:ascii="Times New Roman" w:hAnsi="Times New Roman" w:cs="Times New Roman"/>
          <w:sz w:val="20"/>
          <w:szCs w:val="20"/>
          <w:lang w:val="en-US" w:eastAsia="zh-CN"/>
        </w:rPr>
        <w:t xml:space="preserve">at does not include a SRI field, or if </w:t>
      </w:r>
      <w:r>
        <w:rPr>
          <w:rFonts w:hint="default" w:ascii="Times New Roman" w:hAnsi="Times New Roman" w:cs="Times New Roman"/>
          <w:i/>
          <w:iCs/>
          <w:sz w:val="20"/>
          <w:szCs w:val="20"/>
          <w:lang w:val="en-US" w:eastAsia="zh-CN"/>
        </w:rPr>
        <w:t>SRI-PUSCH-PowerControl</w:t>
      </w:r>
      <w:r>
        <w:rPr>
          <w:rFonts w:hint="default" w:ascii="Times New Roman" w:hAnsi="Times New Roman" w:cs="Times New Roman"/>
          <w:sz w:val="20"/>
          <w:szCs w:val="20"/>
          <w:lang w:val="en-US" w:eastAsia="zh-CN"/>
        </w:rPr>
        <w:t xml:space="preserve"> is not provided to the UE</w:t>
      </w:r>
      <w:bookmarkEnd w:id="14"/>
      <w:r>
        <w:rPr>
          <w:rFonts w:hint="default" w:ascii="Times New Roman" w:hAnsi="Times New Roman" w:cs="Times New Roman"/>
          <w:sz w:val="20"/>
          <w:szCs w:val="20"/>
          <w:lang w:val="en-US" w:eastAsia="zh-CN"/>
        </w:rPr>
        <w:t xml:space="preserve">, and if the DCI format also includes a </w:t>
      </w:r>
      <w:r>
        <w:rPr>
          <w:rFonts w:hint="default" w:ascii="Times New Roman" w:hAnsi="Times New Roman" w:cs="Times New Roman"/>
          <w:iCs w:val="0"/>
          <w:sz w:val="20"/>
          <w:szCs w:val="20"/>
          <w:lang w:val="en-US" w:eastAsia="zh-CN"/>
        </w:rPr>
        <w:t>P0-PUSCH field and a value of the P0-PUSCH field is ‘1’</w:t>
      </w:r>
      <w:r>
        <w:rPr>
          <w:rFonts w:hint="eastAsia" w:ascii="Times New Roman" w:hAnsi="Times New Roman" w:cs="Times New Roman"/>
          <w:iCs w:val="0"/>
          <w:sz w:val="20"/>
          <w:szCs w:val="20"/>
          <w:lang w:val="en-US" w:eastAsia="zh-CN"/>
        </w:rPr>
        <w:t xml:space="preserve">(corresponding to </w:t>
      </w:r>
      <w:r>
        <w:rPr>
          <w:rFonts w:hint="eastAsia" w:cs="Times New Roman"/>
          <w:iCs w:val="0"/>
          <w:sz w:val="20"/>
          <w:szCs w:val="20"/>
          <w:lang w:val="en-US" w:eastAsia="zh-CN"/>
        </w:rPr>
        <w:t xml:space="preserve">prioritization </w:t>
      </w:r>
      <w:r>
        <w:rPr>
          <w:rFonts w:hint="eastAsia" w:ascii="Times New Roman" w:hAnsi="Times New Roman" w:cs="Times New Roman"/>
          <w:iCs w:val="0"/>
          <w:sz w:val="20"/>
          <w:szCs w:val="20"/>
          <w:lang w:val="en-US" w:eastAsia="zh-CN"/>
        </w:rPr>
        <w:t>case)</w:t>
      </w:r>
      <w:r>
        <w:rPr>
          <w:rFonts w:hint="default" w:ascii="Times New Roman" w:hAnsi="Times New Roman" w:cs="Times New Roman"/>
          <w:iCs w:val="0"/>
          <w:sz w:val="20"/>
          <w:szCs w:val="20"/>
          <w:lang w:val="en-US" w:eastAsia="zh-CN"/>
        </w:rPr>
        <w:t xml:space="preserve">, which value of P0 </w:t>
      </w:r>
      <w:r>
        <w:rPr>
          <w:rFonts w:ascii="Times New Roman" w:hAnsi="Times New Roman" w:cs="Times New Roman"/>
          <w:sz w:val="20"/>
        </w:rPr>
        <w:t xml:space="preserve">from </w:t>
      </w:r>
      <w:r>
        <w:rPr>
          <w:rFonts w:ascii="Times New Roman" w:hAnsi="Times New Roman" w:cs="Times New Roman"/>
          <w:i/>
          <w:sz w:val="20"/>
        </w:rPr>
        <w:t>P0-PUSCH-Set</w:t>
      </w:r>
      <w:r>
        <w:rPr>
          <w:rFonts w:hint="default" w:ascii="Times New Roman" w:hAnsi="Times New Roman" w:eastAsia="宋体" w:cs="Times New Roman"/>
          <w:i/>
          <w:sz w:val="20"/>
          <w:lang w:val="en-US" w:eastAsia="zh-CN"/>
        </w:rPr>
        <w:t xml:space="preserve"> </w:t>
      </w:r>
      <w:r>
        <w:rPr>
          <w:rFonts w:hint="default" w:ascii="Times New Roman" w:hAnsi="Times New Roman" w:cs="Times New Roman"/>
          <w:iCs w:val="0"/>
          <w:sz w:val="20"/>
          <w:szCs w:val="20"/>
          <w:lang w:val="en-US" w:eastAsia="zh-CN"/>
        </w:rPr>
        <w:t>should be</w:t>
      </w:r>
      <w:r>
        <w:rPr>
          <w:rFonts w:hint="eastAsia"/>
          <w:iCs w:val="0"/>
          <w:sz w:val="20"/>
          <w:szCs w:val="22"/>
          <w:lang w:val="en-US" w:eastAsia="zh-CN"/>
        </w:rPr>
        <w:t xml:space="preserve"> used for determining the transmission power is a</w:t>
      </w:r>
      <w:r>
        <w:rPr>
          <w:rFonts w:hint="default" w:ascii="Times New Roman" w:hAnsi="Times New Roman" w:cs="Times New Roman"/>
          <w:iCs w:val="0"/>
          <w:sz w:val="20"/>
          <w:szCs w:val="20"/>
          <w:lang w:val="en-US" w:eastAsia="zh-CN"/>
        </w:rPr>
        <w:t xml:space="preserve"> remaining issue </w:t>
      </w:r>
      <w:r>
        <w:rPr>
          <w:rFonts w:hint="eastAsia" w:cs="Times New Roman"/>
          <w:iCs w:val="0"/>
          <w:sz w:val="20"/>
          <w:szCs w:val="20"/>
          <w:lang w:val="en-US" w:eastAsia="zh-CN"/>
        </w:rPr>
        <w:t xml:space="preserve">to be addressed. </w:t>
      </w:r>
    </w:p>
    <w:p>
      <w:pPr>
        <w:spacing w:afterLines="50" w:line="276" w:lineRule="auto"/>
        <w:rPr>
          <w:rFonts w:hint="eastAsia" w:eastAsia="Malgun Gothic"/>
          <w:sz w:val="20"/>
          <w:szCs w:val="22"/>
          <w:lang w:val="en-US" w:eastAsia="zh-CN"/>
        </w:rPr>
      </w:pPr>
      <w:r>
        <w:rPr>
          <w:rFonts w:hint="eastAsia"/>
          <w:sz w:val="20"/>
          <w:szCs w:val="22"/>
          <w:lang w:val="en-US" w:eastAsia="zh-CN"/>
        </w:rPr>
        <w:t xml:space="preserve">In current </w:t>
      </w:r>
      <w:r>
        <w:rPr>
          <w:i/>
          <w:sz w:val="20"/>
        </w:rPr>
        <w:t>P0-PUSCH-AlphaSet</w:t>
      </w:r>
      <w:r>
        <w:rPr>
          <w:rFonts w:hint="eastAsia"/>
          <w:sz w:val="20"/>
          <w:szCs w:val="20"/>
          <w:lang w:val="en-US" w:eastAsia="zh-CN"/>
        </w:rPr>
        <w:t xml:space="preserve"> determinat</w:t>
      </w:r>
      <w:r>
        <w:rPr>
          <w:rFonts w:hint="eastAsia"/>
          <w:sz w:val="20"/>
          <w:szCs w:val="22"/>
          <w:lang w:val="en-US" w:eastAsia="zh-CN"/>
        </w:rPr>
        <w:t>ion under cases of a DCI format th</w:t>
      </w:r>
      <w:r>
        <w:rPr>
          <w:rFonts w:hint="default" w:ascii="Times New Roman" w:hAnsi="Times New Roman" w:cs="Times New Roman"/>
          <w:sz w:val="20"/>
          <w:szCs w:val="20"/>
          <w:lang w:val="en-US" w:eastAsia="zh-CN"/>
        </w:rPr>
        <w:t xml:space="preserve">at does not include a SRI field, or </w:t>
      </w:r>
      <w:r>
        <w:rPr>
          <w:rFonts w:hint="default" w:ascii="Times New Roman" w:hAnsi="Times New Roman" w:cs="Times New Roman"/>
          <w:i/>
          <w:iCs/>
          <w:sz w:val="20"/>
          <w:szCs w:val="20"/>
          <w:lang w:val="en-US" w:eastAsia="zh-CN"/>
        </w:rPr>
        <w:t>SRI-PUSCH-PowerControl</w:t>
      </w:r>
      <w:r>
        <w:rPr>
          <w:rFonts w:hint="default" w:ascii="Times New Roman" w:hAnsi="Times New Roman" w:cs="Times New Roman"/>
          <w:sz w:val="20"/>
          <w:szCs w:val="20"/>
          <w:lang w:val="en-US" w:eastAsia="zh-CN"/>
        </w:rPr>
        <w:t xml:space="preserve"> is not provided to the UE</w:t>
      </w:r>
      <w:r>
        <w:rPr>
          <w:rFonts w:hint="default"/>
          <w:sz w:val="20"/>
          <w:szCs w:val="20"/>
          <w:lang w:val="en-US" w:eastAsia="zh-CN"/>
        </w:rPr>
        <w:t xml:space="preserve">, </w:t>
      </w:r>
      <w:r>
        <w:rPr>
          <w:sz w:val="20"/>
          <w:lang w:val="en-US" w:eastAsia="zh-CN"/>
        </w:rPr>
        <w:t xml:space="preserve">the UE determines </w:t>
      </w:r>
      <w:r>
        <w:rPr>
          <w:rFonts w:hint="default" w:eastAsia="Malgun Gothic"/>
          <w:sz w:val="20"/>
          <w:lang w:val="en-US" w:eastAsia="zh-CN"/>
        </w:rPr>
        <w:t>P0</w:t>
      </w:r>
      <w:r>
        <w:rPr>
          <w:sz w:val="20"/>
          <w:lang w:val="en-US" w:eastAsia="zh-CN"/>
        </w:rPr>
        <w:t xml:space="preserve"> from the value of the first </w:t>
      </w:r>
      <w:r>
        <w:rPr>
          <w:i/>
          <w:iCs/>
          <w:sz w:val="20"/>
          <w:lang w:val="en-US" w:eastAsia="zh-CN"/>
        </w:rPr>
        <w:t>P0-PUSCH-AlphaSet</w:t>
      </w:r>
      <w:r>
        <w:rPr>
          <w:sz w:val="20"/>
          <w:lang w:val="en-US" w:eastAsia="zh-CN"/>
        </w:rPr>
        <w:t xml:space="preserve"> in </w:t>
      </w:r>
      <w:r>
        <w:rPr>
          <w:i/>
          <w:iCs/>
          <w:sz w:val="20"/>
          <w:lang w:val="en-US" w:eastAsia="zh-CN"/>
        </w:rPr>
        <w:t>p0-AlphaSets</w:t>
      </w:r>
      <w:r>
        <w:rPr>
          <w:rFonts w:hint="default"/>
          <w:sz w:val="20"/>
          <w:szCs w:val="20"/>
          <w:lang w:val="en-US" w:eastAsia="zh-CN"/>
        </w:rPr>
        <w:t xml:space="preserve">. </w:t>
      </w:r>
      <w:r>
        <w:rPr>
          <w:rFonts w:hint="eastAsia"/>
          <w:sz w:val="20"/>
          <w:szCs w:val="22"/>
          <w:lang w:val="en-US" w:eastAsia="zh-CN"/>
        </w:rPr>
        <w:t xml:space="preserve">Similar rule can be used for case that </w:t>
      </w:r>
      <w:r>
        <w:rPr>
          <w:rFonts w:hint="default" w:ascii="Times New Roman" w:hAnsi="Times New Roman" w:cs="Times New Roman"/>
          <w:sz w:val="20"/>
          <w:szCs w:val="20"/>
          <w:lang w:val="en-US" w:eastAsia="zh-CN"/>
        </w:rPr>
        <w:t xml:space="preserve">the DCI format also includes a </w:t>
      </w:r>
      <w:r>
        <w:rPr>
          <w:rFonts w:hint="default" w:ascii="Times New Roman" w:hAnsi="Times New Roman" w:cs="Times New Roman"/>
          <w:iCs w:val="0"/>
          <w:sz w:val="20"/>
          <w:szCs w:val="20"/>
          <w:lang w:val="en-US" w:eastAsia="zh-CN"/>
        </w:rPr>
        <w:t>P0-PUSCH field and a value of the P0-PUSCH field is ‘1’</w:t>
      </w:r>
      <w:r>
        <w:rPr>
          <w:rFonts w:hint="eastAsia"/>
          <w:sz w:val="20"/>
          <w:szCs w:val="22"/>
          <w:lang w:val="en-US" w:eastAsia="zh-CN"/>
        </w:rPr>
        <w:t xml:space="preserve">, i.e, the UE determines a value of P0 from the first </w:t>
      </w:r>
      <w:r>
        <w:rPr>
          <w:rFonts w:hint="eastAsia"/>
          <w:i/>
          <w:iCs/>
          <w:sz w:val="20"/>
          <w:szCs w:val="22"/>
          <w:lang w:val="en-US" w:eastAsia="zh-CN"/>
        </w:rPr>
        <w:t>P0-PUSCH-Set</w:t>
      </w:r>
      <w:r>
        <w:rPr>
          <w:rFonts w:hint="eastAsia"/>
          <w:iCs w:val="0"/>
          <w:sz w:val="20"/>
          <w:szCs w:val="22"/>
          <w:lang w:val="en-US" w:eastAsia="zh-CN"/>
        </w:rPr>
        <w:t xml:space="preserve">. </w:t>
      </w:r>
    </w:p>
    <w:p>
      <w:pPr>
        <w:snapToGrid w:val="0"/>
        <w:spacing w:afterLines="50"/>
        <w:rPr>
          <w:i/>
          <w:iCs/>
          <w:sz w:val="20"/>
          <w:lang w:val="en-US" w:eastAsia="zh-CN"/>
        </w:rPr>
      </w:pPr>
      <w:bookmarkStart w:id="15" w:name="OLE_LINK12"/>
      <w:r>
        <w:rPr>
          <w:b/>
          <w:i/>
          <w:sz w:val="20"/>
          <w:lang w:val="en-US" w:eastAsia="zh-CN"/>
        </w:rPr>
        <w:t xml:space="preserve">Proposal </w:t>
      </w:r>
      <w:r>
        <w:rPr>
          <w:rFonts w:hint="eastAsia"/>
          <w:b/>
          <w:i/>
          <w:sz w:val="20"/>
          <w:lang w:val="en-US" w:eastAsia="zh-CN"/>
        </w:rPr>
        <w:t>7</w:t>
      </w:r>
      <w:r>
        <w:rPr>
          <w:b/>
          <w:bCs/>
          <w:i/>
          <w:iCs/>
          <w:sz w:val="20"/>
          <w:lang w:val="en-US" w:eastAsia="zh-CN"/>
        </w:rPr>
        <w:t>:</w:t>
      </w:r>
      <w:r>
        <w:rPr>
          <w:i/>
          <w:iCs/>
          <w:sz w:val="20"/>
          <w:lang w:val="en-US" w:eastAsia="zh-CN"/>
        </w:rPr>
        <w:t xml:space="preserve"> </w:t>
      </w:r>
      <w:r>
        <w:rPr>
          <w:rFonts w:hint="eastAsia"/>
          <w:i/>
          <w:iCs/>
          <w:sz w:val="20"/>
          <w:szCs w:val="22"/>
          <w:lang w:val="en-US" w:eastAsia="zh-CN"/>
        </w:rPr>
        <w:t>If the PUSCH transmission is scheduled by a DCI format th</w:t>
      </w:r>
      <w:r>
        <w:rPr>
          <w:rFonts w:hint="default" w:ascii="Times New Roman" w:hAnsi="Times New Roman" w:cs="Times New Roman"/>
          <w:i/>
          <w:iCs/>
          <w:sz w:val="20"/>
          <w:szCs w:val="20"/>
          <w:lang w:val="en-US" w:eastAsia="zh-CN"/>
        </w:rPr>
        <w:t xml:space="preserve">at does not include a SRI field, or if SRI-PUSCH-PowerControl is not provided to the UE, and if the DCI format also includes a P0-PUSCH field and a value of the P0-PUSCH field is </w:t>
      </w:r>
      <w:r>
        <w:rPr>
          <w:rFonts w:hint="eastAsia" w:ascii="Times New Roman" w:hAnsi="Times New Roman" w:cs="Times New Roman"/>
          <w:i/>
          <w:iCs/>
          <w:sz w:val="20"/>
          <w:szCs w:val="22"/>
          <w:lang w:val="en-US" w:eastAsia="zh-CN"/>
        </w:rPr>
        <w:t xml:space="preserve">‘1’, </w:t>
      </w:r>
      <w:r>
        <w:rPr>
          <w:rFonts w:hint="eastAsia"/>
          <w:i/>
          <w:iCs/>
          <w:sz w:val="20"/>
          <w:szCs w:val="22"/>
          <w:lang w:val="en-US" w:eastAsia="zh-CN"/>
        </w:rPr>
        <w:t xml:space="preserve">the UE determines a value of </w:t>
      </w:r>
      <w:r>
        <w:rPr>
          <w:rFonts w:hint="eastAsia" w:eastAsia="Malgun Gothic"/>
          <w:i/>
          <w:iCs/>
          <w:sz w:val="20"/>
          <w:szCs w:val="22"/>
          <w:lang w:val="en-US" w:eastAsia="zh-CN"/>
        </w:rPr>
        <w:t>P0</w:t>
      </w:r>
      <w:r>
        <w:rPr>
          <w:rFonts w:hint="eastAsia"/>
          <w:i/>
          <w:iCs/>
          <w:sz w:val="20"/>
          <w:szCs w:val="22"/>
          <w:lang w:val="en-US" w:eastAsia="zh-CN"/>
        </w:rPr>
        <w:t xml:space="preserve"> from</w:t>
      </w:r>
      <w:r>
        <w:rPr>
          <w:rFonts w:hint="eastAsia" w:eastAsia="Malgun Gothic"/>
          <w:i/>
          <w:iCs/>
          <w:sz w:val="20"/>
          <w:szCs w:val="22"/>
          <w:lang w:val="en-US" w:eastAsia="zh-CN"/>
        </w:rPr>
        <w:t xml:space="preserve"> </w:t>
      </w:r>
      <w:r>
        <w:rPr>
          <w:rFonts w:hint="eastAsia"/>
          <w:i/>
          <w:iCs/>
          <w:sz w:val="20"/>
          <w:szCs w:val="22"/>
          <w:lang w:val="en-US" w:eastAsia="zh-CN"/>
        </w:rPr>
        <w:t>the value of the first P0-PUSCH-Set.</w:t>
      </w:r>
      <w:r>
        <w:rPr>
          <w:rFonts w:hint="eastAsia" w:eastAsia="Malgun Gothic"/>
          <w:i/>
          <w:iCs/>
          <w:sz w:val="20"/>
          <w:szCs w:val="22"/>
          <w:lang w:val="en-US" w:eastAsia="zh-CN"/>
        </w:rPr>
        <w:t xml:space="preserve"> </w:t>
      </w:r>
    </w:p>
    <w:bookmarkEnd w:id="15"/>
    <w:p>
      <w:pPr>
        <w:pStyle w:val="2"/>
        <w:rPr>
          <w:szCs w:val="22"/>
          <w:highlight w:val="none"/>
          <w:lang w:val="en-US"/>
        </w:rPr>
      </w:pPr>
      <w:r>
        <w:rPr>
          <w:rFonts w:hint="eastAsia"/>
          <w:szCs w:val="22"/>
          <w:highlight w:val="none"/>
          <w:lang w:val="en-US"/>
        </w:rPr>
        <w:t>Conclusion</w:t>
      </w:r>
    </w:p>
    <w:p>
      <w:pPr>
        <w:spacing w:afterLines="50" w:line="276" w:lineRule="auto"/>
        <w:rPr>
          <w:sz w:val="20"/>
          <w:lang w:val="en-US" w:eastAsia="zh-CN"/>
        </w:rPr>
      </w:pPr>
      <w:r>
        <w:rPr>
          <w:sz w:val="20"/>
          <w:lang w:val="en-US" w:eastAsia="zh-CN"/>
        </w:rPr>
        <w:t>According to the analysis given above, we have the following observations and proposals:</w:t>
      </w:r>
    </w:p>
    <w:bookmarkEnd w:id="0"/>
    <w:bookmarkEnd w:id="1"/>
    <w:p>
      <w:pPr>
        <w:snapToGrid w:val="0"/>
        <w:spacing w:afterLines="50" w:line="276" w:lineRule="auto"/>
        <w:rPr>
          <w:rFonts w:hint="default"/>
          <w:bCs/>
          <w:i/>
          <w:sz w:val="20"/>
          <w:lang w:val="en-US" w:eastAsia="zh-CN"/>
        </w:rPr>
      </w:pPr>
      <w:r>
        <w:rPr>
          <w:b/>
          <w:i/>
          <w:sz w:val="20"/>
          <w:lang w:val="en-US" w:eastAsia="zh-CN"/>
        </w:rPr>
        <w:t xml:space="preserve">Observation </w:t>
      </w:r>
      <w:r>
        <w:rPr>
          <w:rFonts w:hint="eastAsia"/>
          <w:b/>
          <w:i/>
          <w:sz w:val="20"/>
          <w:lang w:val="en-US" w:eastAsia="zh-CN"/>
        </w:rPr>
        <w:t>1</w:t>
      </w:r>
      <w:r>
        <w:rPr>
          <w:b/>
          <w:i/>
          <w:sz w:val="20"/>
          <w:lang w:val="en-US" w:eastAsia="zh-CN"/>
        </w:rPr>
        <w:t>:</w:t>
      </w:r>
      <w:r>
        <w:rPr>
          <w:rFonts w:hint="eastAsia"/>
          <w:bCs/>
          <w:i/>
          <w:sz w:val="20"/>
          <w:szCs w:val="22"/>
          <w:lang w:val="en-US" w:eastAsia="zh-CN"/>
        </w:rPr>
        <w:t xml:space="preserve"> </w:t>
      </w:r>
      <w:r>
        <w:rPr>
          <w:rFonts w:hint="eastAsia"/>
          <w:bCs/>
          <w:i/>
          <w:iCs w:val="0"/>
          <w:sz w:val="20"/>
          <w:szCs w:val="22"/>
          <w:lang w:val="en-US" w:eastAsia="zh-CN"/>
        </w:rPr>
        <w:t xml:space="preserve">For semi-static 2-D bitmap indication, the </w:t>
      </w:r>
      <w:r>
        <w:rPr>
          <w:rFonts w:hint="eastAsia" w:eastAsia="Batang"/>
          <w:i/>
          <w:iCs w:val="0"/>
          <w:sz w:val="20"/>
          <w:lang w:val="en-US" w:eastAsia="zh-CN"/>
        </w:rPr>
        <w:t>indication bits are allocated to each time domain occasion uniformly no matter whether the occasion contains cancelation resource or not</w:t>
      </w:r>
      <w:r>
        <w:rPr>
          <w:rFonts w:hint="eastAsia"/>
          <w:bCs/>
          <w:i/>
          <w:iCs w:val="0"/>
          <w:sz w:val="20"/>
          <w:szCs w:val="22"/>
          <w:lang w:val="en-US" w:eastAsia="zh-CN"/>
        </w:rPr>
        <w:t xml:space="preserve">, which may casue </w:t>
      </w:r>
      <w:r>
        <w:rPr>
          <w:rFonts w:hint="eastAsia" w:eastAsia="Times New Roman"/>
          <w:i/>
          <w:iCs w:val="0"/>
          <w:sz w:val="20"/>
          <w:lang w:val="en-US" w:eastAsia="zh-CN"/>
        </w:rPr>
        <w:t xml:space="preserve">false cancelation at a higher </w:t>
      </w:r>
      <w:r>
        <w:rPr>
          <w:rFonts w:hint="eastAsia" w:eastAsia="Times New Roman"/>
          <w:i/>
          <w:iCs/>
          <w:sz w:val="20"/>
          <w:lang w:val="en-US" w:eastAsia="zh-CN"/>
        </w:rPr>
        <w:t>probability</w:t>
      </w:r>
      <w:r>
        <w:rPr>
          <w:rFonts w:hint="eastAsia" w:eastAsia="Times New Roman"/>
          <w:sz w:val="20"/>
          <w:lang w:val="en-US" w:eastAsia="zh-CN"/>
        </w:rPr>
        <w:t xml:space="preserve">. </w:t>
      </w:r>
      <w:r>
        <w:rPr>
          <w:rFonts w:hint="eastAsia" w:eastAsia="Times New Roman"/>
          <w:i/>
          <w:iCs w:val="0"/>
          <w:sz w:val="20"/>
          <w:lang w:val="en-US" w:eastAsia="zh-CN"/>
        </w:rPr>
        <w:t xml:space="preserve"> </w:t>
      </w:r>
    </w:p>
    <w:p>
      <w:pPr>
        <w:numPr>
          <w:ilvl w:val="255"/>
          <w:numId w:val="0"/>
        </w:numPr>
        <w:snapToGrid w:val="0"/>
        <w:spacing w:afterLines="50" w:line="276" w:lineRule="auto"/>
        <w:ind w:left="0" w:firstLine="0"/>
        <w:rPr>
          <w:bCs/>
          <w:i/>
          <w:sz w:val="20"/>
          <w:szCs w:val="22"/>
          <w:lang w:val="en-US" w:eastAsia="zh-CN"/>
        </w:rPr>
      </w:pPr>
      <w:r>
        <w:rPr>
          <w:b/>
          <w:i/>
          <w:sz w:val="20"/>
          <w:lang w:val="en-US" w:eastAsia="zh-CN"/>
        </w:rPr>
        <w:t xml:space="preserve">Observation </w:t>
      </w:r>
      <w:r>
        <w:rPr>
          <w:rFonts w:hint="eastAsia"/>
          <w:b/>
          <w:i/>
          <w:sz w:val="20"/>
          <w:lang w:val="en-US" w:eastAsia="zh-CN"/>
        </w:rPr>
        <w:t>2</w:t>
      </w:r>
      <w:r>
        <w:rPr>
          <w:b/>
          <w:i/>
          <w:sz w:val="20"/>
          <w:lang w:val="en-US" w:eastAsia="zh-CN"/>
        </w:rPr>
        <w:t>:</w:t>
      </w:r>
      <w:r>
        <w:rPr>
          <w:rFonts w:hint="eastAsia"/>
          <w:bCs/>
          <w:i/>
          <w:sz w:val="20"/>
          <w:szCs w:val="22"/>
          <w:lang w:val="en-US" w:eastAsia="zh-CN"/>
        </w:rPr>
        <w:t xml:space="preserve"> For the </w:t>
      </w:r>
      <w:r>
        <w:rPr>
          <w:bCs/>
          <w:i/>
          <w:sz w:val="20"/>
          <w:szCs w:val="22"/>
          <w:lang w:val="en-US" w:eastAsia="zh-CN"/>
        </w:rPr>
        <w:t>dynamic</w:t>
      </w:r>
      <w:r>
        <w:rPr>
          <w:rFonts w:hint="eastAsia"/>
          <w:bCs/>
          <w:i/>
          <w:sz w:val="20"/>
          <w:szCs w:val="22"/>
          <w:lang w:val="en-US" w:eastAsia="zh-CN"/>
        </w:rPr>
        <w:t xml:space="preserve"> 2-D bitmap, a finer frequency domain indication granularity can be expected in most of cases compared to s</w:t>
      </w:r>
      <w:r>
        <w:rPr>
          <w:bCs/>
          <w:i/>
          <w:sz w:val="20"/>
          <w:szCs w:val="22"/>
          <w:lang w:val="en-US" w:eastAsia="zh-CN"/>
        </w:rPr>
        <w:t>emi-static</w:t>
      </w:r>
      <w:r>
        <w:rPr>
          <w:rFonts w:hint="eastAsia"/>
          <w:bCs/>
          <w:i/>
          <w:sz w:val="20"/>
          <w:szCs w:val="22"/>
          <w:lang w:val="en-US" w:eastAsia="zh-CN"/>
        </w:rPr>
        <w:t xml:space="preserve"> 2-D bitmap.</w:t>
      </w:r>
    </w:p>
    <w:p>
      <w:pPr>
        <w:numPr>
          <w:ilvl w:val="-1"/>
          <w:numId w:val="0"/>
        </w:numPr>
        <w:snapToGrid w:val="0"/>
        <w:spacing w:beforeLines="0" w:after="0" w:afterLines="50"/>
        <w:ind w:left="0" w:firstLine="0"/>
        <w:rPr>
          <w:rFonts w:hint="eastAsia" w:eastAsia="Times New Roman"/>
          <w:sz w:val="20"/>
          <w:szCs w:val="22"/>
          <w:u w:val="none"/>
          <w:lang w:val="en-US" w:eastAsia="zh-CN" w:bidi="ar"/>
        </w:rPr>
      </w:pPr>
      <w:r>
        <w:rPr>
          <w:b/>
          <w:i/>
          <w:sz w:val="20"/>
          <w:lang w:val="en-US" w:eastAsia="zh-CN"/>
        </w:rPr>
        <w:t xml:space="preserve">Observation </w:t>
      </w:r>
      <w:r>
        <w:rPr>
          <w:rFonts w:hint="eastAsia"/>
          <w:b/>
          <w:i/>
          <w:sz w:val="20"/>
          <w:lang w:val="en-US" w:eastAsia="zh-CN"/>
        </w:rPr>
        <w:t>3:</w:t>
      </w:r>
      <w:r>
        <w:rPr>
          <w:rFonts w:hint="eastAsia"/>
          <w:b w:val="0"/>
          <w:bCs/>
          <w:i/>
          <w:sz w:val="20"/>
          <w:lang w:val="en-US" w:eastAsia="zh-CN"/>
        </w:rPr>
        <w:t xml:space="preserve"> It is not helpful to configure X to be larger than the minimum processing time for UL cancelation.</w:t>
      </w:r>
    </w:p>
    <w:p>
      <w:pPr>
        <w:overflowPunct w:val="0"/>
        <w:autoSpaceDE w:val="0"/>
        <w:autoSpaceDN w:val="0"/>
        <w:adjustRightInd w:val="0"/>
        <w:spacing w:afterLines="50" w:line="276" w:lineRule="auto"/>
        <w:textAlignment w:val="baseline"/>
        <w:rPr>
          <w:rFonts w:hint="eastAsia"/>
          <w:bCs/>
          <w:i/>
          <w:sz w:val="20"/>
          <w:szCs w:val="22"/>
          <w:lang w:val="en-US" w:eastAsia="zh-CN"/>
        </w:rPr>
      </w:pPr>
      <w:r>
        <w:rPr>
          <w:b/>
          <w:i/>
          <w:sz w:val="20"/>
          <w:szCs w:val="22"/>
          <w:lang w:val="en-US" w:eastAsia="zh-CN"/>
        </w:rPr>
        <w:t xml:space="preserve">Proposal </w:t>
      </w:r>
      <w:r>
        <w:rPr>
          <w:rFonts w:hint="eastAsia"/>
          <w:b/>
          <w:i/>
          <w:sz w:val="20"/>
          <w:szCs w:val="22"/>
          <w:lang w:val="en-US" w:eastAsia="zh-CN"/>
        </w:rPr>
        <w:t>1</w:t>
      </w:r>
      <w:r>
        <w:rPr>
          <w:b/>
          <w:i/>
          <w:sz w:val="20"/>
          <w:szCs w:val="22"/>
          <w:lang w:val="en-US" w:eastAsia="zh-CN"/>
        </w:rPr>
        <w:t>:</w:t>
      </w:r>
      <w:r>
        <w:rPr>
          <w:rFonts w:hint="eastAsia" w:eastAsia="Batang"/>
          <w:i/>
          <w:sz w:val="20"/>
          <w:szCs w:val="22"/>
          <w:lang w:val="en-US" w:eastAsia="zh-CN"/>
        </w:rPr>
        <w:t xml:space="preserve"> RAN1 should support dynamic</w:t>
      </w:r>
      <w:r>
        <w:rPr>
          <w:rFonts w:hint="eastAsia"/>
          <w:bCs/>
          <w:i/>
          <w:sz w:val="20"/>
          <w:szCs w:val="22"/>
          <w:lang w:val="en-US" w:eastAsia="zh-CN"/>
        </w:rPr>
        <w:t xml:space="preserve"> 2-D bitmap method f</w:t>
      </w:r>
      <w:r>
        <w:rPr>
          <w:rFonts w:hint="eastAsia" w:eastAsia="Batang"/>
          <w:i/>
          <w:sz w:val="20"/>
          <w:szCs w:val="22"/>
          <w:lang w:val="en-US" w:eastAsia="zh-CN"/>
        </w:rPr>
        <w:t>or UL cancelation resource indication</w:t>
      </w:r>
      <w:r>
        <w:rPr>
          <w:rFonts w:hint="eastAsia"/>
          <w:bCs/>
          <w:i/>
          <w:sz w:val="20"/>
          <w:szCs w:val="22"/>
          <w:lang w:val="en-US" w:eastAsia="zh-CN"/>
        </w:rPr>
        <w:t>.</w:t>
      </w:r>
    </w:p>
    <w:p>
      <w:pPr>
        <w:numPr>
          <w:ilvl w:val="0"/>
          <w:numId w:val="15"/>
        </w:numPr>
        <w:overflowPunct w:val="0"/>
        <w:autoSpaceDE w:val="0"/>
        <w:autoSpaceDN w:val="0"/>
        <w:adjustRightInd w:val="0"/>
        <w:spacing w:afterLines="50" w:line="276" w:lineRule="auto"/>
        <w:ind w:left="840" w:hanging="420"/>
        <w:textAlignment w:val="baseline"/>
        <w:rPr>
          <w:rFonts w:hint="eastAsia" w:eastAsia="Times New Roman"/>
          <w:bCs w:val="0"/>
          <w:i/>
          <w:iCs/>
          <w:sz w:val="20"/>
          <w:szCs w:val="22"/>
          <w:lang w:val="en-US" w:eastAsia="zh-CN"/>
        </w:rPr>
      </w:pPr>
      <w:r>
        <w:rPr>
          <w:rFonts w:hint="eastAsia" w:eastAsia="Times New Roman"/>
          <w:i/>
          <w:iCs/>
          <w:sz w:val="20"/>
          <w:szCs w:val="22"/>
          <w:lang w:val="en-US" w:eastAsia="zh-CN"/>
        </w:rPr>
        <w:t>Occupied t</w:t>
      </w:r>
      <w:r>
        <w:rPr>
          <w:rFonts w:hint="eastAsia" w:eastAsia="Times New Roman"/>
          <w:bCs w:val="0"/>
          <w:i/>
          <w:iCs/>
          <w:sz w:val="20"/>
          <w:szCs w:val="22"/>
          <w:lang w:val="en-US" w:eastAsia="zh-CN"/>
        </w:rPr>
        <w:t>ime domain occasions are indicated by bitmap firstly</w:t>
      </w:r>
    </w:p>
    <w:p>
      <w:pPr>
        <w:numPr>
          <w:ilvl w:val="0"/>
          <w:numId w:val="15"/>
        </w:numPr>
        <w:overflowPunct w:val="0"/>
        <w:autoSpaceDE w:val="0"/>
        <w:autoSpaceDN w:val="0"/>
        <w:adjustRightInd w:val="0"/>
        <w:spacing w:afterLines="50" w:line="276" w:lineRule="auto"/>
        <w:ind w:left="840" w:hanging="420"/>
        <w:textAlignment w:val="baseline"/>
        <w:rPr>
          <w:rFonts w:hint="eastAsia" w:eastAsia="Times New Roman"/>
          <w:bCs w:val="0"/>
          <w:i/>
          <w:iCs/>
          <w:sz w:val="20"/>
          <w:szCs w:val="22"/>
          <w:lang w:val="en-US" w:eastAsia="zh-CN"/>
        </w:rPr>
      </w:pPr>
      <w:r>
        <w:rPr>
          <w:rFonts w:hint="eastAsia" w:eastAsia="Times New Roman"/>
          <w:bCs w:val="0"/>
          <w:i/>
          <w:iCs/>
          <w:sz w:val="20"/>
          <w:szCs w:val="22"/>
          <w:lang w:val="en-US" w:eastAsia="zh-CN"/>
        </w:rPr>
        <w:t>The time-frequency resource corresponding to the occupied time domain occasions is indicated by a 2-D bitmap dynamically.</w:t>
      </w:r>
    </w:p>
    <w:p>
      <w:pPr>
        <w:numPr>
          <w:ilvl w:val="-1"/>
          <w:numId w:val="0"/>
        </w:numPr>
        <w:snapToGrid w:val="0"/>
        <w:spacing w:beforeLines="0" w:after="0" w:afterLines="50"/>
        <w:ind w:left="0" w:firstLine="0"/>
        <w:rPr>
          <w:rFonts w:hint="eastAsia" w:eastAsia="Times New Roman"/>
          <w:sz w:val="20"/>
          <w:szCs w:val="22"/>
          <w:u w:val="none"/>
          <w:lang w:val="en-US" w:eastAsia="zh-CN" w:bidi="ar"/>
        </w:rPr>
      </w:pPr>
      <w:r>
        <w:rPr>
          <w:b/>
          <w:i/>
          <w:sz w:val="20"/>
          <w:szCs w:val="22"/>
          <w:lang w:val="en-US" w:eastAsia="zh-CN"/>
        </w:rPr>
        <w:t xml:space="preserve">Proposal </w:t>
      </w:r>
      <w:r>
        <w:rPr>
          <w:rFonts w:hint="eastAsia"/>
          <w:b/>
          <w:i/>
          <w:sz w:val="20"/>
          <w:szCs w:val="22"/>
          <w:lang w:val="en-US" w:eastAsia="zh-CN"/>
        </w:rPr>
        <w:t>2:</w:t>
      </w:r>
      <w:r>
        <w:rPr>
          <w:rFonts w:hint="eastAsia"/>
          <w:b/>
          <w:i/>
          <w:iCs w:val="0"/>
          <w:sz w:val="20"/>
          <w:szCs w:val="22"/>
          <w:lang w:val="en-US" w:eastAsia="zh-CN"/>
        </w:rPr>
        <w:t xml:space="preserve"> </w:t>
      </w:r>
      <w:r>
        <w:rPr>
          <w:rFonts w:hint="eastAsia" w:eastAsia="Times New Roman"/>
          <w:i/>
          <w:sz w:val="20"/>
          <w:szCs w:val="22"/>
          <w:u w:val="none"/>
          <w:lang w:val="en-US" w:eastAsia="zh-CN" w:bidi="ar"/>
        </w:rPr>
        <w:t xml:space="preserve">Downlink symbols indicated by </w:t>
      </w:r>
      <w:r>
        <w:rPr>
          <w:rFonts w:hint="eastAsia" w:eastAsia="Times New Roman"/>
          <w:i/>
          <w:iCs w:val="0"/>
          <w:sz w:val="20"/>
          <w:szCs w:val="22"/>
          <w:u w:val="none"/>
          <w:lang w:val="en-US" w:eastAsia="zh-CN" w:bidi="ar"/>
        </w:rPr>
        <w:t>tdd-UL-DL-ConfigurationCommon</w:t>
      </w:r>
      <w:r>
        <w:rPr>
          <w:rFonts w:hint="eastAsia" w:eastAsia="Times New Roman"/>
          <w:i/>
          <w:sz w:val="20"/>
          <w:szCs w:val="22"/>
          <w:u w:val="none"/>
          <w:lang w:val="en-US" w:eastAsia="zh-CN" w:bidi="ar"/>
        </w:rPr>
        <w:t xml:space="preserve"> should be excluded from the reference uplink region</w:t>
      </w:r>
      <w:r>
        <w:rPr>
          <w:rFonts w:hint="eastAsia" w:eastAsia="Times New Roman"/>
          <w:i/>
          <w:iCs w:val="0"/>
          <w:sz w:val="20"/>
          <w:szCs w:val="22"/>
          <w:u w:val="none"/>
          <w:lang w:val="en-US" w:eastAsia="zh-CN" w:bidi="ar"/>
        </w:rPr>
        <w:t xml:space="preserve">. </w:t>
      </w:r>
    </w:p>
    <w:p>
      <w:pPr>
        <w:numPr>
          <w:ilvl w:val="-1"/>
          <w:numId w:val="0"/>
        </w:numPr>
        <w:snapToGrid w:val="0"/>
        <w:spacing w:beforeLines="0" w:after="0" w:afterLines="50"/>
        <w:ind w:left="0" w:firstLine="0"/>
        <w:rPr>
          <w:rFonts w:hint="eastAsia" w:eastAsia="Times New Roman"/>
          <w:i/>
          <w:iCs w:val="0"/>
          <w:sz w:val="20"/>
          <w:szCs w:val="22"/>
          <w:u w:val="none"/>
          <w:lang w:val="en-US" w:eastAsia="zh-CN" w:bidi="ar"/>
        </w:rPr>
      </w:pPr>
      <w:r>
        <w:rPr>
          <w:b/>
          <w:i/>
          <w:sz w:val="20"/>
          <w:szCs w:val="22"/>
          <w:lang w:val="en-US" w:eastAsia="zh-CN"/>
        </w:rPr>
        <w:t xml:space="preserve">Proposal </w:t>
      </w:r>
      <w:r>
        <w:rPr>
          <w:rFonts w:hint="eastAsia"/>
          <w:b/>
          <w:i/>
          <w:sz w:val="20"/>
          <w:szCs w:val="22"/>
          <w:lang w:val="en-US" w:eastAsia="zh-CN"/>
        </w:rPr>
        <w:t>3:</w:t>
      </w:r>
      <w:r>
        <w:rPr>
          <w:rFonts w:hint="eastAsia"/>
          <w:b/>
          <w:i/>
          <w:iCs w:val="0"/>
          <w:sz w:val="20"/>
          <w:szCs w:val="22"/>
          <w:lang w:val="en-US" w:eastAsia="zh-CN"/>
        </w:rPr>
        <w:t xml:space="preserve"> </w:t>
      </w:r>
      <w:r>
        <w:rPr>
          <w:rFonts w:hint="eastAsia" w:eastAsia="Times New Roman"/>
          <w:i/>
          <w:iCs w:val="0"/>
          <w:sz w:val="20"/>
          <w:szCs w:val="22"/>
          <w:u w:val="none"/>
          <w:lang w:val="en-US" w:eastAsia="zh-CN" w:bidi="ar"/>
        </w:rPr>
        <w:t xml:space="preserve">NR should at least support 28OS, 42OS and 56OS for duration of RUR. </w:t>
      </w:r>
    </w:p>
    <w:p>
      <w:pPr>
        <w:numPr>
          <w:ilvl w:val="-1"/>
          <w:numId w:val="0"/>
        </w:numPr>
        <w:snapToGrid w:val="0"/>
        <w:spacing w:beforeLines="0" w:after="0" w:afterLines="50"/>
        <w:ind w:left="0" w:firstLine="0"/>
        <w:rPr>
          <w:rFonts w:hint="eastAsia" w:eastAsia="Times New Roman"/>
          <w:i/>
          <w:iCs w:val="0"/>
          <w:sz w:val="20"/>
          <w:szCs w:val="22"/>
          <w:highlight w:val="none"/>
          <w:u w:val="none"/>
          <w:lang w:val="en-US" w:eastAsia="zh-CN" w:bidi="ar"/>
        </w:rPr>
      </w:pPr>
      <w:r>
        <w:rPr>
          <w:b/>
          <w:i/>
          <w:sz w:val="20"/>
          <w:szCs w:val="22"/>
          <w:highlight w:val="none"/>
          <w:lang w:val="en-US" w:eastAsia="zh-CN"/>
        </w:rPr>
        <w:t xml:space="preserve">Proposal </w:t>
      </w:r>
      <w:r>
        <w:rPr>
          <w:rFonts w:hint="eastAsia"/>
          <w:b/>
          <w:i/>
          <w:sz w:val="20"/>
          <w:szCs w:val="22"/>
          <w:highlight w:val="none"/>
          <w:lang w:val="en-US" w:eastAsia="zh-CN"/>
        </w:rPr>
        <w:t>4:</w:t>
      </w:r>
      <w:r>
        <w:rPr>
          <w:rFonts w:hint="eastAsia"/>
          <w:b/>
          <w:i/>
          <w:iCs w:val="0"/>
          <w:sz w:val="20"/>
          <w:szCs w:val="22"/>
          <w:highlight w:val="none"/>
          <w:lang w:val="en-US" w:eastAsia="zh-CN"/>
        </w:rPr>
        <w:t xml:space="preserve"> </w:t>
      </w:r>
      <w:r>
        <w:rPr>
          <w:rFonts w:hint="eastAsia" w:eastAsia="Times New Roman"/>
          <w:i/>
          <w:iCs w:val="0"/>
          <w:sz w:val="20"/>
          <w:szCs w:val="22"/>
          <w:highlight w:val="none"/>
          <w:u w:val="none"/>
          <w:lang w:val="en-US" w:eastAsia="zh-CN" w:bidi="ar"/>
        </w:rPr>
        <w:t xml:space="preserve">NR should at least support to configure X=21bits, </w:t>
      </w:r>
      <w:r>
        <w:rPr>
          <w:rFonts w:hint="eastAsia" w:eastAsia="Times New Roman"/>
          <w:bCs w:val="0"/>
          <w:i/>
          <w:iCs w:val="0"/>
          <w:sz w:val="20"/>
          <w:szCs w:val="22"/>
          <w:highlight w:val="none"/>
          <w:u w:val="none"/>
          <w:lang w:val="en-US" w:eastAsia="zh-CN" w:bidi="ar"/>
        </w:rPr>
        <w:t>28bits</w:t>
      </w:r>
      <w:r>
        <w:rPr>
          <w:rFonts w:hint="eastAsia" w:eastAsia="Times New Roman"/>
          <w:i/>
          <w:iCs w:val="0"/>
          <w:sz w:val="20"/>
          <w:szCs w:val="22"/>
          <w:highlight w:val="none"/>
          <w:u w:val="none"/>
          <w:lang w:val="en-US" w:eastAsia="zh-CN" w:bidi="ar"/>
        </w:rPr>
        <w:t xml:space="preserve"> and 35bits for </w:t>
      </w:r>
      <w:r>
        <w:rPr>
          <w:rFonts w:hint="eastAsia" w:eastAsia="Times New Roman"/>
          <w:i/>
          <w:sz w:val="20"/>
          <w:szCs w:val="22"/>
          <w:highlight w:val="none"/>
          <w:u w:val="none"/>
          <w:lang w:val="en-US" w:eastAsia="zh-CN" w:bidi="ar"/>
        </w:rPr>
        <w:t>field size</w:t>
      </w:r>
      <w:r>
        <w:rPr>
          <w:rFonts w:hint="eastAsia" w:eastAsia="Times New Roman"/>
          <w:i/>
          <w:iCs w:val="0"/>
          <w:sz w:val="20"/>
          <w:szCs w:val="22"/>
          <w:highlight w:val="none"/>
          <w:u w:val="none"/>
          <w:lang w:val="en-US" w:eastAsia="zh-CN" w:bidi="ar"/>
        </w:rPr>
        <w:t xml:space="preserve"> of </w:t>
      </w:r>
      <w:r>
        <w:rPr>
          <w:rFonts w:hint="eastAsia" w:eastAsia="Times New Roman"/>
          <w:bCs w:val="0"/>
          <w:i/>
          <w:iCs w:val="0"/>
          <w:sz w:val="20"/>
          <w:szCs w:val="22"/>
          <w:highlight w:val="none"/>
          <w:u w:val="none"/>
          <w:lang w:val="en-US" w:eastAsia="zh-CN" w:bidi="ar"/>
        </w:rPr>
        <w:t>each UL cancelation indicator per serving cell in addition to X=14bits</w:t>
      </w:r>
      <w:r>
        <w:rPr>
          <w:rFonts w:hint="eastAsia" w:eastAsia="Times New Roman"/>
          <w:i/>
          <w:iCs w:val="0"/>
          <w:sz w:val="20"/>
          <w:szCs w:val="22"/>
          <w:highlight w:val="none"/>
          <w:u w:val="none"/>
          <w:lang w:val="en-US" w:eastAsia="zh-CN" w:bidi="ar"/>
        </w:rPr>
        <w:t xml:space="preserve">. </w:t>
      </w:r>
    </w:p>
    <w:p>
      <w:pPr>
        <w:numPr>
          <w:ilvl w:val="255"/>
          <w:numId w:val="0"/>
        </w:numPr>
        <w:overflowPunct w:val="0"/>
        <w:autoSpaceDE w:val="0"/>
        <w:autoSpaceDN w:val="0"/>
        <w:adjustRightInd w:val="0"/>
        <w:spacing w:afterLines="50" w:line="276" w:lineRule="auto"/>
        <w:textAlignment w:val="baseline"/>
        <w:rPr>
          <w:rFonts w:hint="default" w:eastAsia="Times New Roman"/>
          <w:i/>
          <w:iCs/>
          <w:sz w:val="20"/>
          <w:szCs w:val="22"/>
          <w:lang w:val="en-US" w:eastAsia="zh-CN"/>
        </w:rPr>
      </w:pPr>
      <w:r>
        <w:rPr>
          <w:b/>
          <w:i/>
          <w:sz w:val="20"/>
          <w:lang w:val="en-US" w:eastAsia="zh-CN"/>
        </w:rPr>
        <w:t xml:space="preserve">Proposal </w:t>
      </w:r>
      <w:r>
        <w:rPr>
          <w:rFonts w:hint="eastAsia"/>
          <w:b/>
          <w:i/>
          <w:sz w:val="20"/>
          <w:lang w:val="en-US" w:eastAsia="zh-CN"/>
        </w:rPr>
        <w:t>5</w:t>
      </w:r>
      <w:r>
        <w:rPr>
          <w:b/>
          <w:bCs/>
          <w:i/>
          <w:iCs/>
          <w:sz w:val="20"/>
          <w:lang w:val="en-US" w:eastAsia="zh-CN"/>
        </w:rPr>
        <w:t xml:space="preserve">: </w:t>
      </w:r>
      <w:r>
        <w:rPr>
          <w:rFonts w:hint="eastAsia"/>
          <w:i/>
          <w:iCs/>
          <w:sz w:val="20"/>
          <w:lang w:val="en-US" w:eastAsia="zh-CN"/>
        </w:rPr>
        <w:t xml:space="preserve">For </w:t>
      </w:r>
      <w:r>
        <w:rPr>
          <w:rFonts w:hint="eastAsia" w:eastAsia="Times New Roman"/>
          <w:i/>
          <w:iCs/>
          <w:sz w:val="20"/>
          <w:szCs w:val="22"/>
          <w:lang w:val="en-US" w:eastAsia="zh-CN"/>
        </w:rPr>
        <w:t>both cases of UL transmission with and without associated PDCCH, the follow options of UL CI monitoring conditions should be further considered.</w:t>
      </w:r>
    </w:p>
    <w:p>
      <w:pPr>
        <w:numPr>
          <w:ilvl w:val="0"/>
          <w:numId w:val="16"/>
        </w:numPr>
        <w:overflowPunct/>
        <w:autoSpaceDE/>
        <w:autoSpaceDN/>
        <w:adjustRightInd/>
        <w:snapToGrid w:val="0"/>
        <w:spacing w:beforeLines="0" w:after="0" w:afterLines="50" w:line="240" w:lineRule="auto"/>
        <w:ind w:left="840" w:hanging="420"/>
        <w:textAlignment w:val="auto"/>
        <w:rPr>
          <w:rFonts w:hint="eastAsia" w:eastAsia="Times New Roman"/>
          <w:i/>
          <w:iCs/>
          <w:sz w:val="20"/>
          <w:szCs w:val="22"/>
          <w:lang w:val="en-US" w:eastAsia="zh-CN" w:bidi="ar"/>
        </w:rPr>
      </w:pPr>
      <w:r>
        <w:rPr>
          <w:rFonts w:hint="eastAsia" w:eastAsia="Times New Roman"/>
          <w:i/>
          <w:iCs/>
          <w:sz w:val="20"/>
          <w:szCs w:val="22"/>
          <w:lang w:val="en-US" w:eastAsia="zh-CN" w:bidi="ar"/>
        </w:rPr>
        <w:t>Option1: UE monitors UL CIs corresponding with RURs in which the eMBB UL transmission located;</w:t>
      </w:r>
    </w:p>
    <w:p>
      <w:pPr>
        <w:numPr>
          <w:ilvl w:val="0"/>
          <w:numId w:val="16"/>
        </w:numPr>
        <w:overflowPunct/>
        <w:autoSpaceDE/>
        <w:autoSpaceDN/>
        <w:adjustRightInd/>
        <w:snapToGrid w:val="0"/>
        <w:spacing w:beforeLines="0" w:after="0" w:afterLines="50" w:line="240" w:lineRule="auto"/>
        <w:ind w:left="840" w:hanging="420"/>
        <w:textAlignment w:val="auto"/>
        <w:rPr>
          <w:rFonts w:hint="eastAsia" w:eastAsia="Times New Roman"/>
          <w:i/>
          <w:iCs/>
          <w:sz w:val="20"/>
          <w:szCs w:val="22"/>
          <w:lang w:val="en-US" w:eastAsia="zh-CN" w:bidi="ar"/>
        </w:rPr>
      </w:pPr>
      <w:r>
        <w:rPr>
          <w:rFonts w:hint="eastAsia" w:eastAsia="Times New Roman"/>
          <w:i/>
          <w:iCs/>
          <w:sz w:val="20"/>
          <w:szCs w:val="22"/>
          <w:lang w:val="en-US" w:eastAsia="zh-CN" w:bidi="ar"/>
        </w:rPr>
        <w:t xml:space="preserve">Option2: UE starts monitoring UL CI at the latest monitoring occasion ending no later than X symbols before the start of the UL transmission, and X is related to UL CI processing time. </w:t>
      </w:r>
    </w:p>
    <w:p>
      <w:pPr>
        <w:snapToGrid w:val="0"/>
        <w:spacing w:afterLines="50"/>
        <w:rPr>
          <w:i/>
          <w:iCs/>
          <w:sz w:val="20"/>
          <w:lang w:val="en-US" w:eastAsia="zh-CN"/>
        </w:rPr>
      </w:pPr>
      <w:r>
        <w:rPr>
          <w:b/>
          <w:i/>
          <w:sz w:val="20"/>
          <w:lang w:val="en-US" w:eastAsia="zh-CN"/>
        </w:rPr>
        <w:t xml:space="preserve">Proposal </w:t>
      </w:r>
      <w:r>
        <w:rPr>
          <w:rFonts w:hint="eastAsia"/>
          <w:b/>
          <w:i/>
          <w:sz w:val="20"/>
          <w:lang w:val="en-US" w:eastAsia="zh-CN"/>
        </w:rPr>
        <w:t>6</w:t>
      </w:r>
      <w:r>
        <w:rPr>
          <w:b/>
          <w:bCs/>
          <w:i/>
          <w:iCs/>
          <w:sz w:val="20"/>
          <w:lang w:val="en-US" w:eastAsia="zh-CN"/>
        </w:rPr>
        <w:t>:</w:t>
      </w:r>
      <w:r>
        <w:rPr>
          <w:i/>
          <w:iCs/>
          <w:sz w:val="20"/>
          <w:lang w:val="en-US" w:eastAsia="zh-CN"/>
        </w:rPr>
        <w:t xml:space="preserve"> For improving resource efficien</w:t>
      </w:r>
      <w:r>
        <w:rPr>
          <w:i/>
          <w:iCs/>
          <w:sz w:val="20"/>
          <w:szCs w:val="22"/>
          <w:lang w:val="en-US" w:eastAsia="zh-CN"/>
        </w:rPr>
        <w:t xml:space="preserve">cy, </w:t>
      </w:r>
      <w:r>
        <w:rPr>
          <w:rFonts w:eastAsia="宋体"/>
          <w:i/>
          <w:iCs/>
          <w:sz w:val="20"/>
          <w:szCs w:val="22"/>
          <w:lang w:val="en-US" w:eastAsia="zh-CN"/>
        </w:rPr>
        <w:t xml:space="preserve">the preempted eMBB UE can generate a new TB and transmit it in the remaining resource without introducing a new UL grant. </w:t>
      </w:r>
    </w:p>
    <w:p>
      <w:pPr>
        <w:snapToGrid w:val="0"/>
        <w:spacing w:afterLines="50"/>
        <w:rPr>
          <w:i/>
          <w:iCs/>
          <w:sz w:val="20"/>
          <w:lang w:val="en-US" w:eastAsia="zh-CN"/>
        </w:rPr>
      </w:pPr>
      <w:r>
        <w:rPr>
          <w:b/>
          <w:i/>
          <w:sz w:val="20"/>
          <w:lang w:val="en-US" w:eastAsia="zh-CN"/>
        </w:rPr>
        <w:t xml:space="preserve">Proposal </w:t>
      </w:r>
      <w:r>
        <w:rPr>
          <w:rFonts w:hint="eastAsia"/>
          <w:b/>
          <w:i/>
          <w:sz w:val="20"/>
          <w:lang w:val="en-US" w:eastAsia="zh-CN"/>
        </w:rPr>
        <w:t>7</w:t>
      </w:r>
      <w:r>
        <w:rPr>
          <w:b/>
          <w:bCs/>
          <w:i/>
          <w:iCs/>
          <w:sz w:val="20"/>
          <w:lang w:val="en-US" w:eastAsia="zh-CN"/>
        </w:rPr>
        <w:t>:</w:t>
      </w:r>
      <w:r>
        <w:rPr>
          <w:i/>
          <w:iCs/>
          <w:sz w:val="20"/>
          <w:lang w:val="en-US" w:eastAsia="zh-CN"/>
        </w:rPr>
        <w:t xml:space="preserve"> </w:t>
      </w:r>
      <w:r>
        <w:rPr>
          <w:rFonts w:hint="eastAsia"/>
          <w:i/>
          <w:iCs/>
          <w:sz w:val="20"/>
          <w:szCs w:val="22"/>
          <w:lang w:val="en-US" w:eastAsia="zh-CN"/>
        </w:rPr>
        <w:t>If the PUSCH transmission is scheduled by a DCI format th</w:t>
      </w:r>
      <w:r>
        <w:rPr>
          <w:rFonts w:hint="default" w:ascii="Times New Roman" w:hAnsi="Times New Roman" w:cs="Times New Roman"/>
          <w:i/>
          <w:iCs/>
          <w:sz w:val="20"/>
          <w:szCs w:val="20"/>
          <w:lang w:val="en-US" w:eastAsia="zh-CN"/>
        </w:rPr>
        <w:t xml:space="preserve">at does not include a SRI field, or if SRI-PUSCH-PowerControl is not provided to the UE, and if the DCI format also includes a P0-PUSCH field and a value of the P0-PUSCH field is </w:t>
      </w:r>
      <w:r>
        <w:rPr>
          <w:rFonts w:hint="eastAsia" w:ascii="Times New Roman" w:hAnsi="Times New Roman" w:cs="Times New Roman"/>
          <w:i/>
          <w:iCs/>
          <w:sz w:val="20"/>
          <w:szCs w:val="22"/>
          <w:lang w:val="en-US" w:eastAsia="zh-CN"/>
        </w:rPr>
        <w:t xml:space="preserve">‘1’, </w:t>
      </w:r>
      <w:r>
        <w:rPr>
          <w:rFonts w:hint="eastAsia"/>
          <w:i/>
          <w:iCs/>
          <w:sz w:val="20"/>
          <w:szCs w:val="22"/>
          <w:lang w:val="en-US" w:eastAsia="zh-CN"/>
        </w:rPr>
        <w:t xml:space="preserve">the UE determines a value of </w:t>
      </w:r>
      <w:r>
        <w:rPr>
          <w:rFonts w:hint="eastAsia" w:eastAsia="Malgun Gothic"/>
          <w:i/>
          <w:iCs/>
          <w:sz w:val="20"/>
          <w:szCs w:val="22"/>
          <w:lang w:val="en-US" w:eastAsia="zh-CN"/>
        </w:rPr>
        <w:t>P0</w:t>
      </w:r>
      <w:r>
        <w:rPr>
          <w:rFonts w:hint="eastAsia"/>
          <w:i/>
          <w:iCs/>
          <w:sz w:val="20"/>
          <w:szCs w:val="22"/>
          <w:lang w:val="en-US" w:eastAsia="zh-CN"/>
        </w:rPr>
        <w:t xml:space="preserve"> from</w:t>
      </w:r>
      <w:r>
        <w:rPr>
          <w:rFonts w:hint="eastAsia" w:eastAsia="Malgun Gothic"/>
          <w:i/>
          <w:iCs/>
          <w:sz w:val="20"/>
          <w:szCs w:val="22"/>
          <w:lang w:val="en-US" w:eastAsia="zh-CN"/>
        </w:rPr>
        <w:t xml:space="preserve"> </w:t>
      </w:r>
      <w:r>
        <w:rPr>
          <w:rFonts w:hint="eastAsia"/>
          <w:i/>
          <w:iCs/>
          <w:sz w:val="20"/>
          <w:szCs w:val="22"/>
          <w:lang w:val="en-US" w:eastAsia="zh-CN"/>
        </w:rPr>
        <w:t>the value of the first P0-PUSCH-Set.</w:t>
      </w:r>
      <w:r>
        <w:rPr>
          <w:rFonts w:hint="eastAsia" w:eastAsia="Malgun Gothic"/>
          <w:i/>
          <w:iCs/>
          <w:sz w:val="20"/>
          <w:szCs w:val="22"/>
          <w:lang w:val="en-US" w:eastAsia="zh-CN"/>
        </w:rPr>
        <w:t xml:space="preserve"> </w:t>
      </w:r>
    </w:p>
    <w:p>
      <w:pPr>
        <w:pStyle w:val="2"/>
        <w:rPr>
          <w:szCs w:val="22"/>
          <w:lang w:val="en-US" w:eastAsia="zh-CN"/>
        </w:rPr>
      </w:pPr>
      <w:r>
        <w:rPr>
          <w:rFonts w:hint="eastAsia"/>
          <w:szCs w:val="22"/>
          <w:lang w:val="en-US" w:eastAsia="zh-CN"/>
        </w:rPr>
        <w:t>Reference</w:t>
      </w:r>
    </w:p>
    <w:p>
      <w:pPr>
        <w:pStyle w:val="99"/>
        <w:numPr>
          <w:ilvl w:val="0"/>
          <w:numId w:val="17"/>
        </w:numPr>
        <w:tabs>
          <w:tab w:val="left" w:pos="480"/>
        </w:tabs>
        <w:snapToGrid w:val="0"/>
        <w:spacing w:afterLines="50"/>
        <w:ind w:left="482" w:hanging="482" w:firstLineChars="0"/>
        <w:rPr>
          <w:rFonts w:ascii="Times New Roman" w:hAnsi="Times New Roman"/>
          <w:sz w:val="20"/>
          <w:szCs w:val="20"/>
          <w:lang w:val="en-US" w:eastAsia="zh-CN"/>
        </w:rPr>
      </w:pPr>
      <w:bookmarkStart w:id="16" w:name="_Ref427157992"/>
      <w:r>
        <w:rPr>
          <w:rFonts w:ascii="Times New Roman" w:hAnsi="Times New Roman"/>
          <w:sz w:val="20"/>
          <w:szCs w:val="20"/>
          <w:lang w:eastAsia="zh-CN"/>
        </w:rPr>
        <w:t>3GPP</w:t>
      </w:r>
      <w:r>
        <w:rPr>
          <w:rFonts w:ascii="Times New Roman" w:hAnsi="Times New Roman"/>
          <w:sz w:val="20"/>
          <w:szCs w:val="20"/>
          <w:lang w:val="en-US" w:eastAsia="zh-CN"/>
        </w:rPr>
        <w:t xml:space="preserve"> </w:t>
      </w:r>
      <w:r>
        <w:rPr>
          <w:rFonts w:ascii="Times New Roman" w:hAnsi="Times New Roman"/>
          <w:sz w:val="20"/>
          <w:szCs w:val="20"/>
          <w:lang w:eastAsia="zh-CN"/>
        </w:rPr>
        <w:t>RAN</w:t>
      </w:r>
      <w:r>
        <w:rPr>
          <w:rFonts w:ascii="Times New Roman" w:hAnsi="Times New Roman"/>
          <w:sz w:val="20"/>
          <w:szCs w:val="20"/>
          <w:lang w:val="en-US" w:eastAsia="zh-CN"/>
        </w:rPr>
        <w:t>1</w:t>
      </w:r>
      <w:r>
        <w:rPr>
          <w:rFonts w:ascii="Times New Roman" w:hAnsi="Times New Roman"/>
          <w:sz w:val="20"/>
          <w:szCs w:val="20"/>
          <w:lang w:eastAsia="zh-CN"/>
        </w:rPr>
        <w:t xml:space="preserve"> </w:t>
      </w:r>
      <w:r>
        <w:rPr>
          <w:rFonts w:ascii="Times New Roman" w:hAnsi="Times New Roman"/>
          <w:sz w:val="20"/>
          <w:szCs w:val="20"/>
          <w:lang w:val="en-US" w:eastAsia="zh-CN"/>
        </w:rPr>
        <w:t>#9</w:t>
      </w:r>
      <w:r>
        <w:rPr>
          <w:rFonts w:hint="eastAsia" w:ascii="Times New Roman" w:hAnsi="Times New Roman"/>
          <w:sz w:val="20"/>
          <w:szCs w:val="20"/>
          <w:lang w:val="en-US" w:eastAsia="zh-CN"/>
        </w:rPr>
        <w:t>8bis</w:t>
      </w:r>
      <w:r>
        <w:rPr>
          <w:rFonts w:ascii="Times New Roman" w:hAnsi="Times New Roman"/>
          <w:sz w:val="20"/>
          <w:szCs w:val="20"/>
          <w:lang w:eastAsia="zh-CN"/>
        </w:rPr>
        <w:t xml:space="preserve">, </w:t>
      </w:r>
      <w:r>
        <w:rPr>
          <w:rFonts w:ascii="Times New Roman" w:hAnsi="Times New Roman"/>
          <w:sz w:val="20"/>
          <w:szCs w:val="20"/>
          <w:lang w:val="en-US" w:eastAsia="zh-CN"/>
        </w:rPr>
        <w:t xml:space="preserve">RAN1 Chairman’s Notes. </w:t>
      </w:r>
    </w:p>
    <w:bookmarkEnd w:id="16"/>
    <w:p>
      <w:pPr>
        <w:pStyle w:val="99"/>
        <w:numPr>
          <w:ilvl w:val="0"/>
          <w:numId w:val="17"/>
        </w:numPr>
        <w:tabs>
          <w:tab w:val="left" w:pos="480"/>
        </w:tabs>
        <w:snapToGrid w:val="0"/>
        <w:spacing w:afterLines="50"/>
        <w:ind w:left="482" w:hanging="482" w:firstLineChars="0"/>
        <w:rPr>
          <w:rFonts w:ascii="Times New Roman" w:hAnsi="Times New Roman"/>
          <w:sz w:val="20"/>
          <w:szCs w:val="20"/>
          <w:lang w:val="en-US" w:eastAsia="zh-CN"/>
        </w:rPr>
      </w:pPr>
      <w:bookmarkStart w:id="17" w:name="_Toc525997546"/>
      <w:r>
        <w:rPr>
          <w:rFonts w:ascii="Times New Roman" w:hAnsi="Times New Roman"/>
          <w:sz w:val="20"/>
          <w:szCs w:val="20"/>
          <w:lang w:eastAsia="zh-CN"/>
        </w:rPr>
        <w:t>3GPP</w:t>
      </w:r>
      <w:r>
        <w:rPr>
          <w:rFonts w:ascii="Times New Roman" w:hAnsi="Times New Roman"/>
          <w:sz w:val="20"/>
          <w:szCs w:val="20"/>
          <w:lang w:val="en-US" w:eastAsia="zh-CN"/>
        </w:rPr>
        <w:t xml:space="preserve"> </w:t>
      </w:r>
      <w:r>
        <w:rPr>
          <w:rFonts w:ascii="Times New Roman" w:hAnsi="Times New Roman"/>
          <w:sz w:val="20"/>
          <w:szCs w:val="20"/>
          <w:lang w:eastAsia="zh-CN"/>
        </w:rPr>
        <w:t>RAN</w:t>
      </w:r>
      <w:r>
        <w:rPr>
          <w:rFonts w:ascii="Times New Roman" w:hAnsi="Times New Roman"/>
          <w:sz w:val="20"/>
          <w:szCs w:val="20"/>
          <w:lang w:val="en-US" w:eastAsia="zh-CN"/>
        </w:rPr>
        <w:t>1</w:t>
      </w:r>
      <w:r>
        <w:rPr>
          <w:rFonts w:ascii="Times New Roman" w:hAnsi="Times New Roman"/>
          <w:sz w:val="20"/>
          <w:szCs w:val="20"/>
          <w:lang w:eastAsia="zh-CN"/>
        </w:rPr>
        <w:t xml:space="preserve"> </w:t>
      </w:r>
      <w:r>
        <w:rPr>
          <w:rFonts w:ascii="Times New Roman" w:hAnsi="Times New Roman"/>
          <w:sz w:val="20"/>
          <w:szCs w:val="20"/>
          <w:lang w:val="en-US" w:eastAsia="zh-CN"/>
        </w:rPr>
        <w:t>#9</w:t>
      </w:r>
      <w:r>
        <w:rPr>
          <w:rFonts w:hint="eastAsia" w:ascii="Times New Roman" w:hAnsi="Times New Roman"/>
          <w:sz w:val="20"/>
          <w:szCs w:val="20"/>
          <w:lang w:val="en-US" w:eastAsia="zh-CN"/>
        </w:rPr>
        <w:t>5</w:t>
      </w:r>
      <w:r>
        <w:rPr>
          <w:rFonts w:ascii="Times New Roman" w:hAnsi="Times New Roman"/>
          <w:sz w:val="20"/>
          <w:szCs w:val="20"/>
          <w:lang w:eastAsia="zh-CN"/>
        </w:rPr>
        <w:t xml:space="preserve">, </w:t>
      </w:r>
      <w:r>
        <w:rPr>
          <w:rFonts w:ascii="Times New Roman" w:hAnsi="Times New Roman"/>
          <w:sz w:val="20"/>
          <w:szCs w:val="20"/>
          <w:lang w:val="en-US" w:eastAsia="zh-CN"/>
        </w:rPr>
        <w:t xml:space="preserve">RAN1 Chairman’s Notes. </w:t>
      </w:r>
    </w:p>
    <w:p>
      <w:pPr>
        <w:pStyle w:val="99"/>
        <w:numPr>
          <w:ilvl w:val="0"/>
          <w:numId w:val="17"/>
        </w:numPr>
        <w:tabs>
          <w:tab w:val="left" w:pos="480"/>
        </w:tabs>
        <w:snapToGrid w:val="0"/>
        <w:spacing w:afterLines="50"/>
        <w:ind w:left="482" w:hanging="482" w:firstLineChars="0"/>
        <w:rPr>
          <w:rFonts w:ascii="Times New Roman" w:hAnsi="Times New Roman"/>
          <w:sz w:val="20"/>
          <w:szCs w:val="20"/>
          <w:lang w:val="en-US" w:eastAsia="zh-CN"/>
        </w:rPr>
      </w:pPr>
      <w:r>
        <w:rPr>
          <w:rFonts w:ascii="Times New Roman" w:hAnsi="Times New Roman"/>
          <w:sz w:val="20"/>
          <w:szCs w:val="20"/>
          <w:lang w:eastAsia="zh-CN"/>
        </w:rPr>
        <w:t>3GPP</w:t>
      </w:r>
      <w:r>
        <w:rPr>
          <w:rFonts w:ascii="Times New Roman" w:hAnsi="Times New Roman"/>
          <w:sz w:val="20"/>
          <w:szCs w:val="20"/>
          <w:lang w:val="en-US" w:eastAsia="zh-CN"/>
        </w:rPr>
        <w:t xml:space="preserve"> </w:t>
      </w:r>
      <w:r>
        <w:rPr>
          <w:rFonts w:ascii="Times New Roman" w:hAnsi="Times New Roman"/>
          <w:sz w:val="20"/>
          <w:szCs w:val="20"/>
          <w:lang w:eastAsia="zh-CN"/>
        </w:rPr>
        <w:t>RAN</w:t>
      </w:r>
      <w:r>
        <w:rPr>
          <w:rFonts w:ascii="Times New Roman" w:hAnsi="Times New Roman"/>
          <w:sz w:val="20"/>
          <w:szCs w:val="20"/>
          <w:lang w:val="en-US" w:eastAsia="zh-CN"/>
        </w:rPr>
        <w:t>1</w:t>
      </w:r>
      <w:r>
        <w:rPr>
          <w:rFonts w:ascii="Times New Roman" w:hAnsi="Times New Roman"/>
          <w:sz w:val="20"/>
          <w:szCs w:val="20"/>
          <w:lang w:eastAsia="zh-CN"/>
        </w:rPr>
        <w:t xml:space="preserve"> </w:t>
      </w:r>
      <w:r>
        <w:rPr>
          <w:rFonts w:ascii="Times New Roman" w:hAnsi="Times New Roman"/>
          <w:sz w:val="20"/>
          <w:szCs w:val="20"/>
          <w:lang w:val="en-US" w:eastAsia="zh-CN"/>
        </w:rPr>
        <w:t>#9</w:t>
      </w:r>
      <w:r>
        <w:rPr>
          <w:rFonts w:hint="eastAsia" w:ascii="Times New Roman" w:hAnsi="Times New Roman"/>
          <w:sz w:val="20"/>
          <w:szCs w:val="20"/>
          <w:lang w:val="en-US" w:eastAsia="zh-CN"/>
        </w:rPr>
        <w:t>8</w:t>
      </w:r>
      <w:r>
        <w:rPr>
          <w:rFonts w:ascii="Times New Roman" w:hAnsi="Times New Roman"/>
          <w:sz w:val="20"/>
          <w:szCs w:val="20"/>
          <w:lang w:eastAsia="zh-CN"/>
        </w:rPr>
        <w:t xml:space="preserve">, </w:t>
      </w:r>
      <w:r>
        <w:rPr>
          <w:rFonts w:ascii="Times New Roman" w:hAnsi="Times New Roman"/>
          <w:sz w:val="20"/>
          <w:szCs w:val="20"/>
          <w:lang w:val="en-US" w:eastAsia="zh-CN"/>
        </w:rPr>
        <w:t xml:space="preserve">RAN1 Chairman’s Notes. </w:t>
      </w:r>
    </w:p>
    <w:bookmarkEnd w:id="17"/>
    <w:p>
      <w:pPr>
        <w:pStyle w:val="2"/>
        <w:rPr>
          <w:rFonts w:hint="eastAsia" w:ascii="Arial" w:hAnsi="Arial"/>
          <w:sz w:val="30"/>
          <w:szCs w:val="22"/>
          <w:lang w:val="en-US" w:eastAsia="zh-CN"/>
        </w:rPr>
      </w:pPr>
      <w:r>
        <w:rPr>
          <w:rFonts w:hint="eastAsia" w:ascii="Arial" w:hAnsi="Arial"/>
          <w:sz w:val="30"/>
          <w:szCs w:val="22"/>
          <w:lang w:val="en-US" w:eastAsia="zh-CN"/>
        </w:rPr>
        <w:t>A</w:t>
      </w:r>
      <w:r>
        <w:rPr>
          <w:rFonts w:hint="eastAsia"/>
          <w:szCs w:val="22"/>
          <w:lang w:val="en-US" w:eastAsia="zh-CN"/>
        </w:rPr>
        <w:t>ppendix</w:t>
      </w:r>
    </w:p>
    <w:p>
      <w:pPr>
        <w:tabs>
          <w:tab w:val="left" w:pos="480"/>
        </w:tabs>
        <w:spacing w:after="120" w:afterLines="50"/>
        <w:jc w:val="center"/>
        <w:rPr>
          <w:b/>
          <w:sz w:val="20"/>
          <w:lang w:val="en-US" w:eastAsia="zh-CN"/>
        </w:rPr>
      </w:pPr>
      <w:r>
        <w:rPr>
          <w:b/>
          <w:sz w:val="20"/>
          <w:lang w:val="en-US" w:eastAsia="zh-CN"/>
        </w:rPr>
        <w:t>Table-3: System-level simulation assumptions</w:t>
      </w:r>
    </w:p>
    <w:tbl>
      <w:tblPr>
        <w:tblStyle w:val="52"/>
        <w:tblW w:w="90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snapToGrid w:val="0"/>
              <w:spacing w:after="0" w:line="240" w:lineRule="auto"/>
              <w:jc w:val="center"/>
              <w:rPr>
                <w:sz w:val="20"/>
              </w:rPr>
            </w:pPr>
            <w:r>
              <w:rPr>
                <w:sz w:val="20"/>
              </w:rPr>
              <w:t>Parameters</w:t>
            </w:r>
          </w:p>
        </w:tc>
        <w:tc>
          <w:tcPr>
            <w:tcW w:w="5414" w:type="dxa"/>
            <w:tcBorders>
              <w:top w:val="single" w:color="auto" w:sz="4" w:space="0"/>
              <w:left w:val="single" w:color="auto" w:sz="4" w:space="0"/>
              <w:bottom w:val="single" w:color="auto" w:sz="4" w:space="0"/>
              <w:right w:val="single" w:color="auto" w:sz="4" w:space="0"/>
            </w:tcBorders>
            <w:shd w:val="clear" w:color="auto" w:fill="DBDBDB"/>
            <w:vAlign w:val="center"/>
          </w:tcPr>
          <w:p>
            <w:pPr>
              <w:snapToGrid w:val="0"/>
              <w:spacing w:after="0" w:line="240" w:lineRule="auto"/>
              <w:jc w:val="center"/>
              <w:rPr>
                <w:sz w:val="20"/>
                <w:lang w:eastAsia="zh-CN"/>
              </w:rPr>
            </w:pPr>
            <w:r>
              <w:rPr>
                <w:sz w:val="20"/>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left"/>
              <w:rPr>
                <w:sz w:val="20"/>
                <w:lang w:val="en-US" w:eastAsia="zh-CN"/>
              </w:rPr>
            </w:pPr>
            <w:r>
              <w:rPr>
                <w:sz w:val="20"/>
                <w:lang w:val="en-US" w:eastAsia="zh-CN"/>
              </w:rPr>
              <w:t>L</w:t>
            </w:r>
            <w:r>
              <w:rPr>
                <w:sz w:val="20"/>
                <w:lang w:val="en-US"/>
              </w:rPr>
              <w:t>atency (ms)</w:t>
            </w:r>
            <w:r>
              <w:rPr>
                <w:sz w:val="20"/>
                <w:lang w:val="en-US" w:eastAsia="zh-CN"/>
              </w:rPr>
              <w:t>/</w:t>
            </w:r>
            <w:r>
              <w:rPr>
                <w:sz w:val="20"/>
                <w:lang w:val="en-US"/>
              </w:rPr>
              <w:t>Reliability (%)</w:t>
            </w:r>
            <w:r>
              <w:rPr>
                <w:sz w:val="20"/>
                <w:lang w:val="en-US" w:eastAsia="zh-CN"/>
              </w:rPr>
              <w:t xml:space="preserve"> of URLLC</w:t>
            </w:r>
          </w:p>
        </w:tc>
        <w:tc>
          <w:tcPr>
            <w:tcW w:w="5414"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left"/>
              <w:rPr>
                <w:color w:val="FF0000"/>
                <w:sz w:val="20"/>
                <w:lang w:val="en-US" w:eastAsia="zh-CN"/>
              </w:rPr>
            </w:pPr>
            <w:r>
              <w:rPr>
                <w:rFonts w:hint="eastAsia"/>
                <w:sz w:val="20"/>
                <w:lang w:val="en-US" w:eastAsia="zh-CN"/>
              </w:rPr>
              <w:t>2</w:t>
            </w:r>
            <w:r>
              <w:rPr>
                <w:sz w:val="20"/>
                <w:lang w:val="en-US" w:eastAsia="zh-CN"/>
              </w:rPr>
              <w:t>ms (air interface delay)/99.999</w:t>
            </w:r>
            <w:r>
              <w:rPr>
                <w:rFonts w:hint="eastAsia"/>
                <w:sz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rPr>
            </w:pPr>
            <w:r>
              <w:rPr>
                <w:sz w:val="20"/>
                <w:lang w:eastAsia="ja-JP"/>
              </w:rPr>
              <w:t>Layout</w:t>
            </w:r>
          </w:p>
        </w:tc>
        <w:tc>
          <w:tcPr>
            <w:tcW w:w="5414" w:type="dxa"/>
            <w:tcBorders>
              <w:top w:val="single" w:color="auto" w:sz="4" w:space="0"/>
              <w:left w:val="single" w:color="auto" w:sz="4" w:space="0"/>
              <w:bottom w:val="single" w:color="auto" w:sz="4" w:space="0"/>
              <w:right w:val="single" w:color="auto" w:sz="4" w:space="0"/>
            </w:tcBorders>
            <w:vAlign w:val="top"/>
          </w:tcPr>
          <w:p>
            <w:pPr>
              <w:overflowPunct/>
              <w:snapToGrid w:val="0"/>
              <w:spacing w:after="0" w:line="240" w:lineRule="auto"/>
              <w:jc w:val="left"/>
              <w:textAlignment w:val="auto"/>
              <w:rPr>
                <w:sz w:val="20"/>
                <w:lang w:eastAsia="ko-KR"/>
              </w:rPr>
            </w:pPr>
            <w:r>
              <w:rPr>
                <w:sz w:val="20"/>
                <w:lang w:eastAsia="ja-JP"/>
              </w:rPr>
              <w:t>Single layer - Macro layer: Hex.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rPr>
            </w:pPr>
            <w:r>
              <w:rPr>
                <w:sz w:val="20"/>
                <w:lang w:eastAsia="ja-JP"/>
              </w:rPr>
              <w:t>Inter-BS distance</w:t>
            </w:r>
          </w:p>
        </w:tc>
        <w:tc>
          <w:tcPr>
            <w:tcW w:w="5414"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zh-CN"/>
              </w:rPr>
            </w:pPr>
            <w:r>
              <w:rPr>
                <w:sz w:val="20"/>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ja-JP"/>
              </w:rPr>
            </w:pPr>
            <w:r>
              <w:rPr>
                <w:sz w:val="20"/>
                <w:lang w:eastAsia="ja-JP"/>
              </w:rPr>
              <w:t>Carrier frequency</w:t>
            </w:r>
          </w:p>
        </w:tc>
        <w:tc>
          <w:tcPr>
            <w:tcW w:w="5414"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zh-CN"/>
              </w:rPr>
            </w:pPr>
            <w:r>
              <w:rPr>
                <w:sz w:val="20"/>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ja-JP"/>
              </w:rPr>
            </w:pPr>
            <w:r>
              <w:rPr>
                <w:sz w:val="20"/>
                <w:lang w:eastAsia="zh-CN"/>
              </w:rPr>
              <w:t xml:space="preserve">Simulation bandwidth </w:t>
            </w:r>
          </w:p>
        </w:tc>
        <w:tc>
          <w:tcPr>
            <w:tcW w:w="5414"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zh-CN"/>
              </w:rPr>
            </w:pPr>
            <w:r>
              <w:rPr>
                <w:sz w:val="20"/>
                <w:lang w:eastAsia="zh-CN"/>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ja-JP"/>
              </w:rPr>
            </w:pPr>
            <w:r>
              <w:rPr>
                <w:sz w:val="20"/>
                <w:lang w:eastAsia="zh-CN"/>
              </w:rPr>
              <w:t xml:space="preserve">SCS </w:t>
            </w:r>
          </w:p>
        </w:tc>
        <w:tc>
          <w:tcPr>
            <w:tcW w:w="5414"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zh-CN"/>
              </w:rPr>
            </w:pPr>
            <w:r>
              <w:rPr>
                <w:sz w:val="20"/>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zh-CN"/>
              </w:rPr>
            </w:pPr>
            <w:r>
              <w:rPr>
                <w:sz w:val="20"/>
                <w:lang w:eastAsia="zh-CN"/>
              </w:rPr>
              <w:t xml:space="preserve">Channel model </w:t>
            </w:r>
          </w:p>
        </w:tc>
        <w:tc>
          <w:tcPr>
            <w:tcW w:w="5414"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zh-CN"/>
              </w:rPr>
            </w:pPr>
            <w:r>
              <w:rPr>
                <w:sz w:val="20"/>
                <w:lang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rPr>
            </w:pPr>
            <w:r>
              <w:rPr>
                <w:sz w:val="20"/>
                <w:lang w:eastAsia="ja-JP"/>
              </w:rPr>
              <w:t>BS antenna configurations</w:t>
            </w:r>
          </w:p>
        </w:tc>
        <w:tc>
          <w:tcPr>
            <w:tcW w:w="5414" w:type="dxa"/>
            <w:tcBorders>
              <w:top w:val="single" w:color="auto" w:sz="4" w:space="0"/>
              <w:left w:val="single" w:color="auto" w:sz="4" w:space="0"/>
              <w:bottom w:val="single" w:color="auto" w:sz="4" w:space="0"/>
              <w:right w:val="single" w:color="auto" w:sz="4" w:space="0"/>
            </w:tcBorders>
            <w:vAlign w:val="center"/>
          </w:tcPr>
          <w:p>
            <w:pPr>
              <w:pStyle w:val="31"/>
              <w:snapToGrid w:val="0"/>
              <w:spacing w:after="0" w:line="240" w:lineRule="auto"/>
              <w:jc w:val="left"/>
              <w:rPr>
                <w:sz w:val="20"/>
              </w:rPr>
            </w:pPr>
            <w:r>
              <w:rPr>
                <w:sz w:val="20"/>
              </w:rPr>
              <w:t>dH = 0.5λ, dV = 0.8λ;</w:t>
            </w:r>
          </w:p>
          <w:p>
            <w:pPr>
              <w:pStyle w:val="31"/>
              <w:snapToGrid w:val="0"/>
              <w:spacing w:after="0" w:line="240" w:lineRule="auto"/>
              <w:jc w:val="left"/>
              <w:rPr>
                <w:sz w:val="20"/>
              </w:rPr>
            </w:pPr>
            <w:r>
              <w:rPr>
                <w:sz w:val="20"/>
              </w:rPr>
              <w:t>4 Rx antenna ports: (M, N, P, Mg, Ng; Mp, Np) = (8, 4, 2, 1, 1; 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rPr>
            </w:pPr>
            <w:r>
              <w:rPr>
                <w:sz w:val="20"/>
                <w:lang w:eastAsia="ja-JP"/>
              </w:rPr>
              <w:t>BS antenna height</w:t>
            </w:r>
          </w:p>
        </w:tc>
        <w:tc>
          <w:tcPr>
            <w:tcW w:w="5414"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left"/>
              <w:rPr>
                <w:sz w:val="20"/>
              </w:rPr>
            </w:pPr>
            <w:r>
              <w:rPr>
                <w:sz w:val="20"/>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rPr>
            </w:pPr>
            <w:r>
              <w:rPr>
                <w:sz w:val="20"/>
                <w:lang w:eastAsia="ja-JP"/>
              </w:rPr>
              <w:t>BS antenna element gain + connector loss</w:t>
            </w:r>
          </w:p>
        </w:tc>
        <w:tc>
          <w:tcPr>
            <w:tcW w:w="5414"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left"/>
              <w:rPr>
                <w:sz w:val="20"/>
                <w:lang w:eastAsia="ja-JP"/>
              </w:rPr>
            </w:pPr>
            <w:r>
              <w:rPr>
                <w:sz w:val="20"/>
                <w:lang w:eastAsia="ja-JP"/>
              </w:rPr>
              <w:t>8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rPr>
            </w:pPr>
            <w:r>
              <w:rPr>
                <w:sz w:val="20"/>
                <w:lang w:eastAsia="ja-JP"/>
              </w:rPr>
              <w:t>BS receiver noise figure</w:t>
            </w:r>
          </w:p>
        </w:tc>
        <w:tc>
          <w:tcPr>
            <w:tcW w:w="5414"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left"/>
              <w:rPr>
                <w:sz w:val="20"/>
              </w:rPr>
            </w:pPr>
            <w:r>
              <w:rPr>
                <w:sz w:val="20"/>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ja-JP"/>
              </w:rPr>
            </w:pPr>
            <w:r>
              <w:rPr>
                <w:sz w:val="20"/>
                <w:lang w:eastAsia="ja-JP"/>
              </w:rPr>
              <w:t>BS receiver</w:t>
            </w:r>
          </w:p>
        </w:tc>
        <w:tc>
          <w:tcPr>
            <w:tcW w:w="5414"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ind w:right="-157"/>
              <w:jc w:val="left"/>
              <w:rPr>
                <w:sz w:val="20"/>
              </w:rPr>
            </w:pPr>
            <w:r>
              <w:rPr>
                <w:sz w:val="20"/>
                <w:lang w:eastAsia="ja-JP"/>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ja-JP"/>
              </w:rPr>
            </w:pPr>
            <w:r>
              <w:rPr>
                <w:sz w:val="20"/>
                <w:lang w:eastAsia="ja-JP"/>
              </w:rPr>
              <w:t>UE Tx power</w:t>
            </w:r>
          </w:p>
        </w:tc>
        <w:tc>
          <w:tcPr>
            <w:tcW w:w="5414" w:type="dxa"/>
            <w:tcBorders>
              <w:top w:val="single" w:color="auto" w:sz="4" w:space="0"/>
              <w:left w:val="single" w:color="auto" w:sz="4" w:space="0"/>
              <w:bottom w:val="single" w:color="auto" w:sz="4" w:space="0"/>
              <w:right w:val="single" w:color="auto" w:sz="4" w:space="0"/>
            </w:tcBorders>
            <w:vAlign w:val="center"/>
          </w:tcPr>
          <w:p>
            <w:pPr>
              <w:pStyle w:val="79"/>
              <w:keepNext w:val="0"/>
              <w:keepLines w:val="0"/>
              <w:snapToGrid w:val="0"/>
              <w:spacing w:line="240" w:lineRule="auto"/>
              <w:jc w:val="left"/>
              <w:rPr>
                <w:rFonts w:ascii="Times New Roman" w:hAnsi="Times New Roman"/>
                <w:sz w:val="20"/>
              </w:rPr>
            </w:pPr>
            <w:r>
              <w:rPr>
                <w:rFonts w:ascii="Times New Roman" w:hAnsi="Times New Roman"/>
                <w:sz w:val="20"/>
                <w:lang w:val="en-US"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ja-JP"/>
              </w:rPr>
            </w:pPr>
            <w:r>
              <w:rPr>
                <w:sz w:val="20"/>
                <w:lang w:eastAsia="ja-JP"/>
              </w:rPr>
              <w:t>UE antenna configuration</w:t>
            </w:r>
          </w:p>
        </w:tc>
        <w:tc>
          <w:tcPr>
            <w:tcW w:w="5414" w:type="dxa"/>
            <w:tcBorders>
              <w:top w:val="single" w:color="auto" w:sz="4" w:space="0"/>
              <w:left w:val="single" w:color="auto" w:sz="4" w:space="0"/>
              <w:bottom w:val="single" w:color="auto" w:sz="4" w:space="0"/>
              <w:right w:val="single" w:color="auto" w:sz="4" w:space="0"/>
            </w:tcBorders>
            <w:vAlign w:val="center"/>
          </w:tcPr>
          <w:p>
            <w:pPr>
              <w:pStyle w:val="31"/>
              <w:snapToGrid w:val="0"/>
              <w:spacing w:after="0" w:line="240" w:lineRule="auto"/>
              <w:jc w:val="left"/>
              <w:rPr>
                <w:sz w:val="20"/>
                <w:lang w:eastAsia="zh-CN"/>
              </w:rPr>
            </w:pPr>
            <w:r>
              <w:rPr>
                <w:sz w:val="20"/>
                <w:lang w:eastAsia="zh-CN"/>
              </w:rPr>
              <w:t>2 Tx: (M, N, P, Mg, Ng; Mp, Np) = (1, 1, 2, 1, 1;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rPr>
            </w:pPr>
            <w:r>
              <w:rPr>
                <w:sz w:val="20"/>
                <w:lang w:eastAsia="ja-JP"/>
              </w:rPr>
              <w:t>UE antenna height</w:t>
            </w:r>
          </w:p>
        </w:tc>
        <w:tc>
          <w:tcPr>
            <w:tcW w:w="5414"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left"/>
              <w:rPr>
                <w:sz w:val="20"/>
                <w:lang w:eastAsia="zh-CN"/>
              </w:rPr>
            </w:pPr>
            <w:r>
              <w:rPr>
                <w:sz w:val="20"/>
                <w:lang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rPr>
            </w:pPr>
            <w:r>
              <w:rPr>
                <w:sz w:val="20"/>
                <w:lang w:eastAsia="ja-JP"/>
              </w:rPr>
              <w:t>UE antenna gain</w:t>
            </w:r>
          </w:p>
        </w:tc>
        <w:tc>
          <w:tcPr>
            <w:tcW w:w="5414" w:type="dxa"/>
            <w:tcBorders>
              <w:top w:val="single" w:color="auto" w:sz="4" w:space="0"/>
              <w:left w:val="single" w:color="auto" w:sz="4" w:space="0"/>
              <w:bottom w:val="single" w:color="auto" w:sz="4" w:space="0"/>
              <w:right w:val="single" w:color="auto" w:sz="4" w:space="0"/>
            </w:tcBorders>
            <w:vAlign w:val="center"/>
          </w:tcPr>
          <w:p>
            <w:pPr>
              <w:snapToGrid w:val="0"/>
              <w:spacing w:after="0" w:line="240" w:lineRule="auto"/>
              <w:jc w:val="left"/>
              <w:rPr>
                <w:sz w:val="20"/>
              </w:rPr>
            </w:pPr>
            <w:r>
              <w:rPr>
                <w:sz w:val="20"/>
              </w:rPr>
              <w:t>0dBi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zh-CN"/>
              </w:rPr>
            </w:pPr>
            <w:r>
              <w:rPr>
                <w:sz w:val="20"/>
                <w:lang w:eastAsia="zh-CN"/>
              </w:rPr>
              <w:t>Number of UEs per cell</w:t>
            </w:r>
          </w:p>
        </w:tc>
        <w:tc>
          <w:tcPr>
            <w:tcW w:w="5414"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val="en-US" w:eastAsia="zh-CN"/>
              </w:rPr>
            </w:pPr>
            <w:r>
              <w:rPr>
                <w:sz w:val="20"/>
                <w:lang w:val="en-US" w:eastAsia="zh-CN"/>
              </w:rPr>
              <w:t>1</w:t>
            </w:r>
            <w:r>
              <w:rPr>
                <w:sz w:val="20"/>
                <w:lang w:eastAsia="zh-CN"/>
              </w:rPr>
              <w:t>0</w:t>
            </w:r>
            <w:r>
              <w:rPr>
                <w:sz w:val="20"/>
                <w:lang w:val="en-US" w:eastAsia="zh-CN"/>
              </w:rPr>
              <w:t xml:space="preserve"> eMBB users per cell</w:t>
            </w:r>
          </w:p>
          <w:p>
            <w:pPr>
              <w:snapToGrid w:val="0"/>
              <w:spacing w:after="0" w:line="240" w:lineRule="auto"/>
              <w:jc w:val="left"/>
              <w:rPr>
                <w:sz w:val="20"/>
                <w:lang w:eastAsia="zh-CN"/>
              </w:rPr>
            </w:pPr>
            <w:r>
              <w:rPr>
                <w:sz w:val="20"/>
                <w:lang w:val="en-US" w:eastAsia="zh-CN"/>
              </w:rPr>
              <w:t>10 URLLC users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val="en-US" w:eastAsia="zh-CN"/>
              </w:rPr>
            </w:pPr>
            <w:r>
              <w:rPr>
                <w:sz w:val="20"/>
                <w:lang w:eastAsia="zh-CN"/>
              </w:rPr>
              <w:t>Traffic model</w:t>
            </w:r>
          </w:p>
        </w:tc>
        <w:tc>
          <w:tcPr>
            <w:tcW w:w="5414"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val="en-US" w:eastAsia="zh-CN"/>
              </w:rPr>
            </w:pPr>
            <w:r>
              <w:rPr>
                <w:sz w:val="20"/>
                <w:lang w:val="en-US" w:eastAsia="zh-CN"/>
              </w:rPr>
              <w:t xml:space="preserve">eMBB: </w:t>
            </w:r>
          </w:p>
          <w:p>
            <w:pPr>
              <w:snapToGrid w:val="0"/>
              <w:spacing w:after="0" w:line="240" w:lineRule="auto"/>
              <w:jc w:val="left"/>
              <w:rPr>
                <w:sz w:val="20"/>
                <w:lang w:val="en-US" w:eastAsia="zh-CN"/>
              </w:rPr>
            </w:pPr>
            <w:r>
              <w:rPr>
                <w:sz w:val="20"/>
                <w:lang w:val="en-US" w:eastAsia="zh-CN"/>
              </w:rPr>
              <w:t xml:space="preserve">- Packet arrival per UE: FTP Model 3 with Poisson arrival </w:t>
            </w:r>
            <w:r>
              <w:rPr>
                <w:position w:val="-6"/>
                <w:sz w:val="20"/>
                <w:lang w:val="en-US" w:eastAsia="zh-CN"/>
              </w:rPr>
              <w:object>
                <v:shape id="_x0000_i1030" o:spt="75" type="#_x0000_t75" style="height:11.05pt;width:32.15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15">
                  <o:LockedField>false</o:LockedField>
                </o:OLEObject>
              </w:object>
            </w:r>
          </w:p>
          <w:p>
            <w:pPr>
              <w:snapToGrid w:val="0"/>
              <w:spacing w:after="0" w:line="240" w:lineRule="auto"/>
              <w:jc w:val="left"/>
              <w:rPr>
                <w:sz w:val="20"/>
                <w:lang w:val="en-US" w:eastAsia="zh-CN"/>
              </w:rPr>
            </w:pPr>
            <w:r>
              <w:rPr>
                <w:sz w:val="20"/>
                <w:lang w:val="en-US" w:eastAsia="zh-CN"/>
              </w:rPr>
              <w:t>- Packet size: 50~ 600 bytes Pareto distribution, with shaping parameter alpha = 1.5.</w:t>
            </w:r>
          </w:p>
          <w:p>
            <w:pPr>
              <w:snapToGrid w:val="0"/>
              <w:spacing w:after="0" w:line="240" w:lineRule="auto"/>
              <w:jc w:val="left"/>
              <w:rPr>
                <w:sz w:val="20"/>
                <w:lang w:val="en-US" w:eastAsia="zh-CN"/>
              </w:rPr>
            </w:pPr>
            <w:r>
              <w:rPr>
                <w:sz w:val="20"/>
                <w:lang w:val="en-US" w:eastAsia="zh-CN"/>
              </w:rPr>
              <w:t xml:space="preserve">URLLC: </w:t>
            </w:r>
          </w:p>
          <w:p>
            <w:pPr>
              <w:snapToGrid w:val="0"/>
              <w:spacing w:after="0" w:line="240" w:lineRule="auto"/>
              <w:jc w:val="left"/>
              <w:rPr>
                <w:sz w:val="20"/>
                <w:lang w:val="en-US" w:eastAsia="zh-CN"/>
              </w:rPr>
            </w:pPr>
            <w:r>
              <w:rPr>
                <w:sz w:val="20"/>
                <w:lang w:val="en-US" w:eastAsia="zh-CN"/>
              </w:rPr>
              <w:t xml:space="preserve">- Packet arrival per UE: FTP Model 3 </w:t>
            </w:r>
            <w:r>
              <w:rPr>
                <w:rFonts w:hint="eastAsia"/>
                <w:sz w:val="20"/>
                <w:lang w:val="en-US" w:eastAsia="zh-CN"/>
              </w:rPr>
              <w:t>with arrival interval 100 ms</w:t>
            </w:r>
          </w:p>
          <w:p>
            <w:pPr>
              <w:snapToGrid w:val="0"/>
              <w:spacing w:after="0" w:line="240" w:lineRule="auto"/>
              <w:jc w:val="left"/>
              <w:rPr>
                <w:sz w:val="20"/>
                <w:lang w:val="en-US" w:eastAsia="zh-CN"/>
              </w:rPr>
            </w:pPr>
            <w:r>
              <w:rPr>
                <w:sz w:val="20"/>
                <w:lang w:val="en-US" w:eastAsia="zh-CN"/>
              </w:rPr>
              <w:t xml:space="preserve">- Packet size: </w:t>
            </w:r>
            <w:r>
              <w:rPr>
                <w:rFonts w:hint="eastAsia"/>
                <w:sz w:val="20"/>
                <w:lang w:val="en-US" w:eastAsia="zh-CN"/>
              </w:rPr>
              <w:t xml:space="preserve">100 </w:t>
            </w:r>
            <w:r>
              <w:rPr>
                <w:sz w:val="20"/>
                <w:lang w:val="en-US" w:eastAsia="zh-CN"/>
              </w:rPr>
              <w:t>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ja-JP"/>
              </w:rPr>
            </w:pPr>
            <w:r>
              <w:rPr>
                <w:sz w:val="20"/>
                <w:lang w:eastAsia="ja-JP"/>
              </w:rPr>
              <w:t>UE distribution</w:t>
            </w:r>
          </w:p>
        </w:tc>
        <w:tc>
          <w:tcPr>
            <w:tcW w:w="5414" w:type="dxa"/>
            <w:tcBorders>
              <w:top w:val="single" w:color="auto" w:sz="4" w:space="0"/>
              <w:left w:val="single" w:color="auto" w:sz="4" w:space="0"/>
              <w:bottom w:val="single" w:color="auto" w:sz="4" w:space="0"/>
              <w:right w:val="single" w:color="auto" w:sz="4" w:space="0"/>
            </w:tcBorders>
            <w:vAlign w:val="top"/>
          </w:tcPr>
          <w:p>
            <w:pPr>
              <w:snapToGrid w:val="0"/>
              <w:spacing w:after="0" w:line="240" w:lineRule="auto"/>
              <w:jc w:val="left"/>
              <w:rPr>
                <w:sz w:val="20"/>
                <w:lang w:eastAsia="zh-CN"/>
              </w:rPr>
            </w:pPr>
            <w:r>
              <w:rPr>
                <w:sz w:val="20"/>
                <w:lang w:eastAsia="zh-CN"/>
              </w:rPr>
              <w:t xml:space="preserve">80% of users are outdoors and 20% of users are indoors </w:t>
            </w:r>
          </w:p>
          <w:p>
            <w:pPr>
              <w:snapToGrid w:val="0"/>
              <w:spacing w:after="0" w:line="240" w:lineRule="auto"/>
              <w:jc w:val="left"/>
              <w:rPr>
                <w:sz w:val="20"/>
                <w:lang w:val="en-US" w:eastAsia="zh-CN"/>
              </w:rPr>
            </w:pPr>
            <w:r>
              <w:rPr>
                <w:sz w:val="20"/>
                <w:lang w:val="en-US" w:eastAsia="zh-CN"/>
              </w:rPr>
              <w:t>3km/h</w:t>
            </w:r>
          </w:p>
          <w:p>
            <w:pPr>
              <w:pStyle w:val="108"/>
              <w:snapToGrid w:val="0"/>
              <w:spacing w:after="0" w:line="240" w:lineRule="auto"/>
              <w:ind w:left="0"/>
              <w:jc w:val="left"/>
              <w:rPr>
                <w:lang w:val="en-US" w:eastAsia="zh-CN"/>
              </w:rPr>
            </w:pPr>
            <w:r>
              <w:rPr>
                <w:lang w:eastAsia="zh-CN"/>
              </w:rPr>
              <w:t>Indoor penetration loss is modelled according to low loss model</w:t>
            </w:r>
          </w:p>
        </w:tc>
      </w:tr>
    </w:tbl>
    <w:p>
      <w:pPr>
        <w:pStyle w:val="99"/>
        <w:numPr>
          <w:ilvl w:val="-1"/>
          <w:numId w:val="0"/>
        </w:numPr>
        <w:tabs>
          <w:tab w:val="left" w:pos="480"/>
        </w:tabs>
        <w:snapToGrid w:val="0"/>
        <w:spacing w:afterLines="50"/>
        <w:ind w:left="0" w:firstLine="0" w:firstLineChars="0"/>
        <w:rPr>
          <w:rFonts w:ascii="Times New Roman" w:hAnsi="Times New Roman"/>
          <w:sz w:val="20"/>
          <w:szCs w:val="20"/>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1D7ADF"/>
    <w:multiLevelType w:val="singleLevel"/>
    <w:tmpl w:val="891D7ADF"/>
    <w:lvl w:ilvl="0" w:tentative="0">
      <w:start w:val="1"/>
      <w:numFmt w:val="bullet"/>
      <w:lvlText w:val=""/>
      <w:lvlJc w:val="left"/>
      <w:pPr>
        <w:ind w:left="420" w:hanging="420"/>
      </w:pPr>
      <w:rPr>
        <w:rFonts w:hint="default" w:ascii="Wingdings" w:hAnsi="Wingdings"/>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7F6BBBC"/>
    <w:multiLevelType w:val="singleLevel"/>
    <w:tmpl w:val="17F6BBBC"/>
    <w:lvl w:ilvl="0" w:tentative="0">
      <w:start w:val="1"/>
      <w:numFmt w:val="bullet"/>
      <w:lvlText w:val=""/>
      <w:lvlJc w:val="left"/>
      <w:pPr>
        <w:ind w:left="420" w:hanging="420"/>
      </w:pPr>
      <w:rPr>
        <w:rFonts w:hint="default" w:ascii="Wingdings" w:hAnsi="Wingdings"/>
      </w:rPr>
    </w:lvl>
  </w:abstractNum>
  <w:abstractNum w:abstractNumId="4">
    <w:nsid w:val="20AE62A7"/>
    <w:multiLevelType w:val="multilevel"/>
    <w:tmpl w:val="20AE62A7"/>
    <w:lvl w:ilvl="0" w:tentative="0">
      <w:start w:val="1"/>
      <w:numFmt w:val="decimal"/>
      <w:lvlText w:val="%1."/>
      <w:lvlJc w:val="left"/>
      <w:pPr>
        <w:ind w:left="420" w:hanging="420"/>
      </w:pPr>
      <w:rPr>
        <w:rFonts w:ascii="Times New Roman" w:hAnsi="Times New Roman" w:eastAsia="宋体" w:cs="Times New Roman"/>
      </w:rPr>
    </w:lvl>
    <w:lvl w:ilvl="1" w:tentative="0">
      <w:start w:val="1"/>
      <w:numFmt w:val="bullet"/>
      <w:lvlText w:val=""/>
      <w:lvlJc w:val="left"/>
      <w:pPr>
        <w:ind w:left="562" w:hanging="420"/>
      </w:pPr>
      <w:rPr>
        <w:rFonts w:hint="default" w:ascii="Wingdings" w:hAnsi="Wingdings"/>
      </w:rPr>
    </w:lvl>
    <w:lvl w:ilvl="2" w:tentative="0">
      <w:start w:val="1"/>
      <w:numFmt w:val="bullet"/>
      <w:lvlText w:val="•"/>
      <w:lvlJc w:val="left"/>
      <w:pPr>
        <w:ind w:left="988" w:hanging="420"/>
      </w:pPr>
      <w:rPr>
        <w:rFonts w:hint="default" w:ascii="Times New Roman" w:hAnsi="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A9716D6"/>
    <w:multiLevelType w:val="multilevel"/>
    <w:tmpl w:val="2A9716D6"/>
    <w:lvl w:ilvl="0" w:tentative="0">
      <w:start w:val="1"/>
      <w:numFmt w:val="bullet"/>
      <w:lvlText w:val=""/>
      <w:lvlJc w:val="left"/>
      <w:pPr>
        <w:ind w:left="623" w:hanging="420"/>
      </w:pPr>
      <w:rPr>
        <w:rFonts w:hint="default" w:ascii="Symbol" w:hAnsi="Symbol"/>
      </w:rPr>
    </w:lvl>
    <w:lvl w:ilvl="1" w:tentative="0">
      <w:start w:val="1"/>
      <w:numFmt w:val="bullet"/>
      <w:lvlText w:val="o"/>
      <w:lvlJc w:val="left"/>
      <w:pPr>
        <w:ind w:left="1043" w:hanging="420"/>
      </w:pPr>
      <w:rPr>
        <w:rFonts w:hint="default" w:ascii="Courier New" w:hAnsi="Courier New" w:cs="Times New Roman"/>
      </w:rPr>
    </w:lvl>
    <w:lvl w:ilvl="2" w:tentative="0">
      <w:start w:val="1"/>
      <w:numFmt w:val="bullet"/>
      <w:lvlText w:val=""/>
      <w:lvlJc w:val="left"/>
      <w:pPr>
        <w:ind w:left="1463" w:hanging="420"/>
      </w:pPr>
      <w:rPr>
        <w:rFonts w:hint="default" w:ascii="Wingdings" w:hAnsi="Wingdings"/>
      </w:rPr>
    </w:lvl>
    <w:lvl w:ilvl="3" w:tentative="0">
      <w:start w:val="1"/>
      <w:numFmt w:val="bullet"/>
      <w:lvlText w:val=""/>
      <w:lvlJc w:val="left"/>
      <w:pPr>
        <w:ind w:left="1883" w:hanging="420"/>
      </w:pPr>
      <w:rPr>
        <w:rFonts w:hint="default" w:ascii="Wingdings" w:hAnsi="Wingdings"/>
      </w:rPr>
    </w:lvl>
    <w:lvl w:ilvl="4" w:tentative="0">
      <w:start w:val="1"/>
      <w:numFmt w:val="bullet"/>
      <w:lvlText w:val=""/>
      <w:lvlJc w:val="left"/>
      <w:pPr>
        <w:ind w:left="2303" w:hanging="420"/>
      </w:pPr>
      <w:rPr>
        <w:rFonts w:hint="default" w:ascii="Wingdings" w:hAnsi="Wingdings"/>
      </w:rPr>
    </w:lvl>
    <w:lvl w:ilvl="5" w:tentative="0">
      <w:start w:val="1"/>
      <w:numFmt w:val="bullet"/>
      <w:lvlText w:val=""/>
      <w:lvlJc w:val="left"/>
      <w:pPr>
        <w:ind w:left="2723" w:hanging="420"/>
      </w:pPr>
      <w:rPr>
        <w:rFonts w:hint="default" w:ascii="Wingdings" w:hAnsi="Wingdings"/>
      </w:rPr>
    </w:lvl>
    <w:lvl w:ilvl="6" w:tentative="0">
      <w:start w:val="1"/>
      <w:numFmt w:val="bullet"/>
      <w:lvlText w:val=""/>
      <w:lvlJc w:val="left"/>
      <w:pPr>
        <w:ind w:left="3143" w:hanging="420"/>
      </w:pPr>
      <w:rPr>
        <w:rFonts w:hint="default" w:ascii="Wingdings" w:hAnsi="Wingdings"/>
      </w:rPr>
    </w:lvl>
    <w:lvl w:ilvl="7" w:tentative="0">
      <w:start w:val="1"/>
      <w:numFmt w:val="bullet"/>
      <w:lvlText w:val=""/>
      <w:lvlJc w:val="left"/>
      <w:pPr>
        <w:ind w:left="3563" w:hanging="420"/>
      </w:pPr>
      <w:rPr>
        <w:rFonts w:hint="default" w:ascii="Wingdings" w:hAnsi="Wingdings"/>
      </w:rPr>
    </w:lvl>
    <w:lvl w:ilvl="8" w:tentative="0">
      <w:start w:val="1"/>
      <w:numFmt w:val="bullet"/>
      <w:lvlText w:val=""/>
      <w:lvlJc w:val="left"/>
      <w:pPr>
        <w:ind w:left="3983" w:hanging="420"/>
      </w:pPr>
      <w:rPr>
        <w:rFonts w:hint="default" w:ascii="Wingdings" w:hAnsi="Wingdings"/>
      </w:rPr>
    </w:lvl>
  </w:abstractNum>
  <w:abstractNum w:abstractNumId="7">
    <w:nsid w:val="2DDF0E1C"/>
    <w:multiLevelType w:val="multilevel"/>
    <w:tmpl w:val="2DDF0E1C"/>
    <w:lvl w:ilvl="0" w:tentative="0">
      <w:start w:val="1"/>
      <w:numFmt w:val="bullet"/>
      <w:pStyle w:val="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0D33ED2"/>
    <w:multiLevelType w:val="multilevel"/>
    <w:tmpl w:val="30D33ED2"/>
    <w:lvl w:ilvl="0" w:tentative="0">
      <w:start w:val="1"/>
      <w:numFmt w:val="decimal"/>
      <w:lvlText w:val="%1."/>
      <w:lvlJc w:val="left"/>
      <w:pPr>
        <w:ind w:left="420" w:hanging="420"/>
      </w:pPr>
      <w:rPr>
        <w:rFonts w:ascii="Times New Roman" w:hAnsi="Times New Roman" w:eastAsia="宋体" w:cs="Times New Roman"/>
      </w:rPr>
    </w:lvl>
    <w:lvl w:ilvl="1" w:tentative="0">
      <w:start w:val="1"/>
      <w:numFmt w:val="bullet"/>
      <w:lvlText w:val="•"/>
      <w:lvlJc w:val="left"/>
      <w:pPr>
        <w:ind w:left="562" w:hanging="420"/>
      </w:pPr>
      <w:rPr>
        <w:rFonts w:hint="default" w:ascii="Times New Roman" w:hAnsi="Times New Roman"/>
      </w:rPr>
    </w:lvl>
    <w:lvl w:ilvl="2" w:tentative="0">
      <w:start w:val="1"/>
      <w:numFmt w:val="bullet"/>
      <w:lvlText w:val=""/>
      <w:lvlJc w:val="left"/>
      <w:pPr>
        <w:ind w:left="420" w:hanging="420"/>
      </w:pPr>
      <w:rPr>
        <w:rFonts w:hint="default" w:ascii="Wingdings" w:hAnsi="Wingdings"/>
      </w:rPr>
    </w:lvl>
    <w:lvl w:ilvl="3" w:tentative="0">
      <w:start w:val="1"/>
      <w:numFmt w:val="bullet"/>
      <w:lvlText w:val="o"/>
      <w:lvlJc w:val="left"/>
      <w:pPr>
        <w:ind w:left="988" w:hanging="420"/>
      </w:pPr>
      <w:rPr>
        <w:rFonts w:hint="default" w:ascii="Courier New" w:hAnsi="Courier New" w:cs="Courier New"/>
      </w:rPr>
    </w:lvl>
    <w:lvl w:ilvl="4" w:tentative="0">
      <w:start w:val="1"/>
      <w:numFmt w:val="bullet"/>
      <w:lvlText w:val=""/>
      <w:lvlJc w:val="left"/>
      <w:pPr>
        <w:ind w:left="1271" w:hanging="420"/>
      </w:pPr>
      <w:rPr>
        <w:rFonts w:hint="default" w:ascii="Wingdings" w:hAnsi="Wingdings"/>
      </w:rPr>
    </w:lvl>
    <w:lvl w:ilvl="5" w:tentative="0">
      <w:start w:val="1"/>
      <w:numFmt w:val="bullet"/>
      <w:lvlText w:val=""/>
      <w:lvlJc w:val="left"/>
      <w:pPr>
        <w:ind w:left="1555" w:hanging="420"/>
      </w:pPr>
      <w:rPr>
        <w:rFonts w:hint="default" w:ascii="Symbol" w:hAnsi="Symbol"/>
      </w:rPr>
    </w:lvl>
    <w:lvl w:ilvl="6" w:tentative="0">
      <w:start w:val="1"/>
      <w:numFmt w:val="bullet"/>
      <w:lvlText w:val=""/>
      <w:lvlJc w:val="left"/>
      <w:pPr>
        <w:ind w:left="1838"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A877D64"/>
    <w:multiLevelType w:val="singleLevel"/>
    <w:tmpl w:val="3A877D64"/>
    <w:lvl w:ilvl="0" w:tentative="0">
      <w:start w:val="1"/>
      <w:numFmt w:val="decimal"/>
      <w:pStyle w:val="61"/>
      <w:lvlText w:val="[%1]"/>
      <w:lvlJc w:val="left"/>
      <w:pPr>
        <w:tabs>
          <w:tab w:val="left" w:pos="360"/>
        </w:tabs>
        <w:ind w:left="360" w:hanging="360"/>
      </w:pPr>
      <w:rPr>
        <w:b w:val="0"/>
      </w:rPr>
    </w:lvl>
  </w:abstractNum>
  <w:abstractNum w:abstractNumId="10">
    <w:nsid w:val="3BCA6F67"/>
    <w:multiLevelType w:val="multilevel"/>
    <w:tmpl w:val="3BCA6F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BFC739E"/>
    <w:multiLevelType w:val="multilevel"/>
    <w:tmpl w:val="3BFC73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66A1BC7"/>
    <w:multiLevelType w:val="multilevel"/>
    <w:tmpl w:val="466A1BC7"/>
    <w:lvl w:ilvl="0" w:tentative="0">
      <w:start w:val="1"/>
      <w:numFmt w:val="decimal"/>
      <w:pStyle w:val="2"/>
      <w:lvlText w:val="%1"/>
      <w:lvlJc w:val="left"/>
      <w:pPr>
        <w:tabs>
          <w:tab w:val="left" w:pos="432"/>
        </w:tabs>
        <w:ind w:left="432" w:hanging="432"/>
      </w:pPr>
      <w:rPr>
        <w:lang w:val="en-GB"/>
      </w:rPr>
    </w:lvl>
    <w:lvl w:ilvl="1" w:tentative="0">
      <w:start w:val="1"/>
      <w:numFmt w:val="decimal"/>
      <w:pStyle w:val="3"/>
      <w:lvlText w:val="%1.%2"/>
      <w:lvlJc w:val="left"/>
      <w:pPr>
        <w:tabs>
          <w:tab w:val="left" w:pos="576"/>
        </w:tabs>
        <w:ind w:left="576" w:hanging="576"/>
      </w:pPr>
      <w:rPr>
        <w:lang w:val="en-US"/>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2268"/>
        </w:tabs>
        <w:ind w:left="2268" w:hanging="1008"/>
      </w:pPr>
    </w:lvl>
    <w:lvl w:ilvl="5" w:tentative="0">
      <w:start w:val="1"/>
      <w:numFmt w:val="decimal"/>
      <w:pStyle w:val="7"/>
      <w:lvlText w:val="%1.%2.%3.%4.%5.%6"/>
      <w:lvlJc w:val="left"/>
      <w:pPr>
        <w:tabs>
          <w:tab w:val="left" w:pos="1152"/>
        </w:tabs>
        <w:ind w:left="1152" w:hanging="1152"/>
      </w:pPr>
      <w:rPr>
        <w:rFonts w:hint="default" w:ascii="Arial" w:hAnsi="Arial" w:cs="Arial"/>
        <w:sz w:val="18"/>
        <w:szCs w:val="18"/>
      </w:r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13">
    <w:nsid w:val="4A55685D"/>
    <w:multiLevelType w:val="singleLevel"/>
    <w:tmpl w:val="4A55685D"/>
    <w:lvl w:ilvl="0" w:tentative="0">
      <w:start w:val="1"/>
      <w:numFmt w:val="bullet"/>
      <w:pStyle w:val="107"/>
      <w:lvlText w:val=""/>
      <w:lvlJc w:val="left"/>
      <w:pPr>
        <w:tabs>
          <w:tab w:val="left" w:pos="992"/>
        </w:tabs>
        <w:ind w:left="992" w:hanging="425"/>
      </w:pPr>
      <w:rPr>
        <w:rFonts w:hint="default" w:ascii="Symbol" w:hAnsi="Symbol"/>
      </w:rPr>
    </w:lvl>
  </w:abstractNum>
  <w:abstractNum w:abstractNumId="14">
    <w:nsid w:val="5BF92265"/>
    <w:multiLevelType w:val="multilevel"/>
    <w:tmpl w:val="5BF92265"/>
    <w:lvl w:ilvl="0" w:tentative="0">
      <w:start w:val="1"/>
      <w:numFmt w:val="decimal"/>
      <w:lvlText w:val="%1."/>
      <w:lvlJc w:val="left"/>
      <w:pPr>
        <w:ind w:left="420" w:hanging="420"/>
      </w:pPr>
      <w:rPr>
        <w:rFonts w:ascii="Times New Roman" w:hAnsi="Times New Roman" w:eastAsia="宋体" w:cs="Times New Roman"/>
      </w:rPr>
    </w:lvl>
    <w:lvl w:ilvl="1" w:tentative="0">
      <w:start w:val="1"/>
      <w:numFmt w:val="bullet"/>
      <w:lvlText w:val="•"/>
      <w:lvlJc w:val="left"/>
      <w:pPr>
        <w:ind w:left="562" w:hanging="420"/>
      </w:pPr>
      <w:rPr>
        <w:rFonts w:hint="default" w:ascii="Times New Roman" w:hAnsi="Times New Roman"/>
      </w:rPr>
    </w:lvl>
    <w:lvl w:ilvl="2" w:tentative="0">
      <w:start w:val="1"/>
      <w:numFmt w:val="bullet"/>
      <w:lvlText w:val=""/>
      <w:lvlJc w:val="left"/>
      <w:pPr>
        <w:ind w:left="420" w:hanging="420"/>
      </w:pPr>
      <w:rPr>
        <w:rFonts w:hint="default" w:ascii="Wingdings" w:hAnsi="Wingdings"/>
      </w:rPr>
    </w:lvl>
    <w:lvl w:ilvl="3" w:tentative="0">
      <w:start w:val="1"/>
      <w:numFmt w:val="bullet"/>
      <w:lvlText w:val="o"/>
      <w:lvlJc w:val="left"/>
      <w:pPr>
        <w:ind w:left="988" w:hanging="420"/>
      </w:pPr>
      <w:rPr>
        <w:rFonts w:hint="default" w:ascii="Courier New" w:hAnsi="Courier New" w:cs="Courier New"/>
      </w:rPr>
    </w:lvl>
    <w:lvl w:ilvl="4" w:tentative="0">
      <w:start w:val="1"/>
      <w:numFmt w:val="bullet"/>
      <w:lvlText w:val=""/>
      <w:lvlJc w:val="left"/>
      <w:pPr>
        <w:ind w:left="1271" w:hanging="420"/>
      </w:pPr>
      <w:rPr>
        <w:rFonts w:hint="default" w:ascii="Symbol" w:hAnsi="Symbol"/>
      </w:rPr>
    </w:lvl>
    <w:lvl w:ilvl="5" w:tentative="0">
      <w:start w:val="1"/>
      <w:numFmt w:val="bullet"/>
      <w:lvlText w:val=""/>
      <w:lvlJc w:val="left"/>
      <w:pPr>
        <w:ind w:left="1555" w:hanging="420"/>
      </w:pPr>
      <w:rPr>
        <w:rFonts w:hint="default" w:ascii="Symbol" w:hAnsi="Symbol"/>
      </w:rPr>
    </w:lvl>
    <w:lvl w:ilvl="6" w:tentative="0">
      <w:start w:val="1"/>
      <w:numFmt w:val="bullet"/>
      <w:lvlText w:val=""/>
      <w:lvlJc w:val="left"/>
      <w:pPr>
        <w:ind w:left="1838"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B9CB2BE"/>
    <w:multiLevelType w:val="singleLevel"/>
    <w:tmpl w:val="7B9CB2BE"/>
    <w:lvl w:ilvl="0" w:tentative="0">
      <w:start w:val="1"/>
      <w:numFmt w:val="bullet"/>
      <w:lvlText w:val=""/>
      <w:lvlJc w:val="left"/>
      <w:pPr>
        <w:ind w:left="420" w:hanging="420"/>
      </w:pPr>
      <w:rPr>
        <w:rFonts w:hint="default" w:ascii="Wingdings" w:hAnsi="Wingdings"/>
      </w:rPr>
    </w:lvl>
  </w:abstractNum>
  <w:abstractNum w:abstractNumId="16">
    <w:nsid w:val="7B9E2E0E"/>
    <w:multiLevelType w:val="multilevel"/>
    <w:tmpl w:val="7B9E2E0E"/>
    <w:lvl w:ilvl="0" w:tentative="0">
      <w:start w:val="1"/>
      <w:numFmt w:val="decimal"/>
      <w:lvlText w:val="%1."/>
      <w:lvlJc w:val="left"/>
      <w:pPr>
        <w:ind w:left="420" w:hanging="420"/>
      </w:pPr>
      <w:rPr>
        <w:rFonts w:ascii="Times New Roman" w:hAnsi="Times New Roman" w:eastAsia="宋体" w:cs="Times New Roman"/>
      </w:rPr>
    </w:lvl>
    <w:lvl w:ilvl="1" w:tentative="0">
      <w:start w:val="1"/>
      <w:numFmt w:val="bullet"/>
      <w:lvlText w:val="•"/>
      <w:lvlJc w:val="left"/>
      <w:pPr>
        <w:ind w:left="562" w:hanging="420"/>
      </w:pPr>
      <w:rPr>
        <w:rFonts w:hint="default" w:ascii="Times New Roman" w:hAnsi="Times New Roman"/>
      </w:rPr>
    </w:lvl>
    <w:lvl w:ilvl="2" w:tentative="0">
      <w:start w:val="1"/>
      <w:numFmt w:val="bullet"/>
      <w:lvlText w:val=""/>
      <w:lvlJc w:val="left"/>
      <w:pPr>
        <w:ind w:left="420" w:hanging="420"/>
      </w:pPr>
      <w:rPr>
        <w:rFonts w:hint="default" w:ascii="Wingdings" w:hAnsi="Wingdings"/>
      </w:rPr>
    </w:lvl>
    <w:lvl w:ilvl="3" w:tentative="0">
      <w:start w:val="1"/>
      <w:numFmt w:val="bullet"/>
      <w:lvlText w:val="o"/>
      <w:lvlJc w:val="left"/>
      <w:pPr>
        <w:ind w:left="988" w:hanging="420"/>
      </w:pPr>
      <w:rPr>
        <w:rFonts w:hint="default" w:ascii="Courier New" w:hAnsi="Courier New" w:cs="Courier New"/>
      </w:rPr>
    </w:lvl>
    <w:lvl w:ilvl="4" w:tentative="0">
      <w:start w:val="1"/>
      <w:numFmt w:val="bullet"/>
      <w:lvlText w:val=""/>
      <w:lvlJc w:val="left"/>
      <w:pPr>
        <w:ind w:left="1271" w:hanging="420"/>
      </w:pPr>
      <w:rPr>
        <w:rFonts w:hint="default" w:ascii="Wingdings" w:hAnsi="Wingdings"/>
      </w:rPr>
    </w:lvl>
    <w:lvl w:ilvl="5" w:tentative="0">
      <w:start w:val="1"/>
      <w:numFmt w:val="bullet"/>
      <w:lvlText w:val=""/>
      <w:lvlJc w:val="left"/>
      <w:pPr>
        <w:ind w:left="1555" w:hanging="420"/>
      </w:pPr>
      <w:rPr>
        <w:rFonts w:hint="default" w:ascii="Wingdings" w:hAnsi="Wingdings"/>
      </w:rPr>
    </w:lvl>
    <w:lvl w:ilvl="6" w:tentative="0">
      <w:start w:val="1"/>
      <w:numFmt w:val="bullet"/>
      <w:lvlText w:val=""/>
      <w:lvlJc w:val="left"/>
      <w:pPr>
        <w:ind w:left="1838"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2"/>
  </w:num>
  <w:num w:numId="2">
    <w:abstractNumId w:val="9"/>
  </w:num>
  <w:num w:numId="3">
    <w:abstractNumId w:val="1"/>
  </w:num>
  <w:num w:numId="4">
    <w:abstractNumId w:val="2"/>
  </w:num>
  <w:num w:numId="5">
    <w:abstractNumId w:val="7"/>
  </w:num>
  <w:num w:numId="6">
    <w:abstractNumId w:val="13"/>
  </w:num>
  <w:num w:numId="7">
    <w:abstractNumId w:val="11"/>
  </w:num>
  <w:num w:numId="8">
    <w:abstractNumId w:val="6"/>
  </w:num>
  <w:num w:numId="9">
    <w:abstractNumId w:val="14"/>
  </w:num>
  <w:num w:numId="10">
    <w:abstractNumId w:val="10"/>
  </w:num>
  <w:num w:numId="11">
    <w:abstractNumId w:val="8"/>
  </w:num>
  <w:num w:numId="12">
    <w:abstractNumId w:val="16"/>
  </w:num>
  <w:num w:numId="13">
    <w:abstractNumId w:val="4"/>
  </w:num>
  <w:num w:numId="14">
    <w:abstractNumId w:val="0"/>
  </w:num>
  <w:num w:numId="15">
    <w:abstractNumId w:val="15"/>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3"/>
    <w:rsid w:val="0000079A"/>
    <w:rsid w:val="00000856"/>
    <w:rsid w:val="00000C91"/>
    <w:rsid w:val="000012E4"/>
    <w:rsid w:val="000017D4"/>
    <w:rsid w:val="00002567"/>
    <w:rsid w:val="0000278E"/>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902"/>
    <w:rsid w:val="00006B64"/>
    <w:rsid w:val="00006C12"/>
    <w:rsid w:val="00006CF2"/>
    <w:rsid w:val="00006D7E"/>
    <w:rsid w:val="00006F74"/>
    <w:rsid w:val="00007933"/>
    <w:rsid w:val="0000797A"/>
    <w:rsid w:val="00010854"/>
    <w:rsid w:val="00010E37"/>
    <w:rsid w:val="000117A2"/>
    <w:rsid w:val="00011936"/>
    <w:rsid w:val="000121C0"/>
    <w:rsid w:val="00012387"/>
    <w:rsid w:val="00012A08"/>
    <w:rsid w:val="00012B15"/>
    <w:rsid w:val="00012BBA"/>
    <w:rsid w:val="00012BCC"/>
    <w:rsid w:val="000130CC"/>
    <w:rsid w:val="0001322B"/>
    <w:rsid w:val="00013872"/>
    <w:rsid w:val="00013C5C"/>
    <w:rsid w:val="00013CB5"/>
    <w:rsid w:val="0001477F"/>
    <w:rsid w:val="00014AB4"/>
    <w:rsid w:val="000150C5"/>
    <w:rsid w:val="0001542E"/>
    <w:rsid w:val="00015646"/>
    <w:rsid w:val="00015873"/>
    <w:rsid w:val="000160AA"/>
    <w:rsid w:val="0001666E"/>
    <w:rsid w:val="00016D84"/>
    <w:rsid w:val="00016D92"/>
    <w:rsid w:val="00017638"/>
    <w:rsid w:val="0001764D"/>
    <w:rsid w:val="000200B3"/>
    <w:rsid w:val="00020239"/>
    <w:rsid w:val="000202AF"/>
    <w:rsid w:val="00020702"/>
    <w:rsid w:val="0002087A"/>
    <w:rsid w:val="00020A1A"/>
    <w:rsid w:val="000210F0"/>
    <w:rsid w:val="00021311"/>
    <w:rsid w:val="0002191D"/>
    <w:rsid w:val="000222CB"/>
    <w:rsid w:val="000223DD"/>
    <w:rsid w:val="00022866"/>
    <w:rsid w:val="0002293E"/>
    <w:rsid w:val="00022A16"/>
    <w:rsid w:val="00022D22"/>
    <w:rsid w:val="0002351A"/>
    <w:rsid w:val="00023CF3"/>
    <w:rsid w:val="000241A4"/>
    <w:rsid w:val="00024B66"/>
    <w:rsid w:val="00024DF0"/>
    <w:rsid w:val="00026180"/>
    <w:rsid w:val="00026662"/>
    <w:rsid w:val="000266A0"/>
    <w:rsid w:val="00026868"/>
    <w:rsid w:val="00026B31"/>
    <w:rsid w:val="00026B6F"/>
    <w:rsid w:val="00026F21"/>
    <w:rsid w:val="00027299"/>
    <w:rsid w:val="000275CD"/>
    <w:rsid w:val="000277A9"/>
    <w:rsid w:val="00027892"/>
    <w:rsid w:val="00027B8C"/>
    <w:rsid w:val="0003003E"/>
    <w:rsid w:val="00030076"/>
    <w:rsid w:val="000306A4"/>
    <w:rsid w:val="00030DBB"/>
    <w:rsid w:val="00031A84"/>
    <w:rsid w:val="00031ACB"/>
    <w:rsid w:val="00031C1D"/>
    <w:rsid w:val="00031C20"/>
    <w:rsid w:val="00032A3F"/>
    <w:rsid w:val="00032C18"/>
    <w:rsid w:val="00032D78"/>
    <w:rsid w:val="00032F6B"/>
    <w:rsid w:val="0003372D"/>
    <w:rsid w:val="00033780"/>
    <w:rsid w:val="0003387C"/>
    <w:rsid w:val="000342BB"/>
    <w:rsid w:val="000343D2"/>
    <w:rsid w:val="000343F5"/>
    <w:rsid w:val="00034473"/>
    <w:rsid w:val="00034D26"/>
    <w:rsid w:val="00034E43"/>
    <w:rsid w:val="00034E61"/>
    <w:rsid w:val="00035271"/>
    <w:rsid w:val="00035F94"/>
    <w:rsid w:val="000366CA"/>
    <w:rsid w:val="00036802"/>
    <w:rsid w:val="00036996"/>
    <w:rsid w:val="00036BA4"/>
    <w:rsid w:val="000372C3"/>
    <w:rsid w:val="000378BF"/>
    <w:rsid w:val="00037D83"/>
    <w:rsid w:val="00037F16"/>
    <w:rsid w:val="00040323"/>
    <w:rsid w:val="00040436"/>
    <w:rsid w:val="000405CA"/>
    <w:rsid w:val="0004065A"/>
    <w:rsid w:val="000407E2"/>
    <w:rsid w:val="00040B8A"/>
    <w:rsid w:val="00040BE5"/>
    <w:rsid w:val="00040C2E"/>
    <w:rsid w:val="00040EDC"/>
    <w:rsid w:val="000410E1"/>
    <w:rsid w:val="0004169E"/>
    <w:rsid w:val="000416A2"/>
    <w:rsid w:val="00041C77"/>
    <w:rsid w:val="000421FE"/>
    <w:rsid w:val="000422D4"/>
    <w:rsid w:val="000422FC"/>
    <w:rsid w:val="00042B81"/>
    <w:rsid w:val="00042B92"/>
    <w:rsid w:val="00042D94"/>
    <w:rsid w:val="00042FEA"/>
    <w:rsid w:val="00043144"/>
    <w:rsid w:val="0004450D"/>
    <w:rsid w:val="00044F7D"/>
    <w:rsid w:val="00045072"/>
    <w:rsid w:val="0004558B"/>
    <w:rsid w:val="00045705"/>
    <w:rsid w:val="00045745"/>
    <w:rsid w:val="0004592A"/>
    <w:rsid w:val="00045A60"/>
    <w:rsid w:val="00045C59"/>
    <w:rsid w:val="00046378"/>
    <w:rsid w:val="000466E4"/>
    <w:rsid w:val="000468E8"/>
    <w:rsid w:val="00046916"/>
    <w:rsid w:val="00046A1C"/>
    <w:rsid w:val="000472D9"/>
    <w:rsid w:val="00047466"/>
    <w:rsid w:val="00047B5D"/>
    <w:rsid w:val="00047DB7"/>
    <w:rsid w:val="00050A44"/>
    <w:rsid w:val="00051D6A"/>
    <w:rsid w:val="00051F90"/>
    <w:rsid w:val="0005255F"/>
    <w:rsid w:val="0005267D"/>
    <w:rsid w:val="000529A1"/>
    <w:rsid w:val="0005305A"/>
    <w:rsid w:val="000534BF"/>
    <w:rsid w:val="00053C5F"/>
    <w:rsid w:val="000541F3"/>
    <w:rsid w:val="00054494"/>
    <w:rsid w:val="00054A96"/>
    <w:rsid w:val="00055BB2"/>
    <w:rsid w:val="00055E2F"/>
    <w:rsid w:val="00055E35"/>
    <w:rsid w:val="00056973"/>
    <w:rsid w:val="00056D37"/>
    <w:rsid w:val="00056FFA"/>
    <w:rsid w:val="00057170"/>
    <w:rsid w:val="000575F4"/>
    <w:rsid w:val="00057BAF"/>
    <w:rsid w:val="00057CA2"/>
    <w:rsid w:val="00057D4F"/>
    <w:rsid w:val="0006024A"/>
    <w:rsid w:val="0006055A"/>
    <w:rsid w:val="000605C8"/>
    <w:rsid w:val="00060AF5"/>
    <w:rsid w:val="00060D53"/>
    <w:rsid w:val="000617D9"/>
    <w:rsid w:val="00062346"/>
    <w:rsid w:val="000627E3"/>
    <w:rsid w:val="000628D9"/>
    <w:rsid w:val="0006299E"/>
    <w:rsid w:val="00062AEE"/>
    <w:rsid w:val="00062DC8"/>
    <w:rsid w:val="00062FA5"/>
    <w:rsid w:val="000632AD"/>
    <w:rsid w:val="000635F4"/>
    <w:rsid w:val="00063730"/>
    <w:rsid w:val="000639F3"/>
    <w:rsid w:val="00063BBD"/>
    <w:rsid w:val="00063DE7"/>
    <w:rsid w:val="000646D3"/>
    <w:rsid w:val="0006485D"/>
    <w:rsid w:val="00064874"/>
    <w:rsid w:val="0006496D"/>
    <w:rsid w:val="00064CC4"/>
    <w:rsid w:val="000656B8"/>
    <w:rsid w:val="00065840"/>
    <w:rsid w:val="00065E3C"/>
    <w:rsid w:val="0006627E"/>
    <w:rsid w:val="00066380"/>
    <w:rsid w:val="0006693B"/>
    <w:rsid w:val="00066C15"/>
    <w:rsid w:val="000670DA"/>
    <w:rsid w:val="0006715E"/>
    <w:rsid w:val="000672B2"/>
    <w:rsid w:val="0006733D"/>
    <w:rsid w:val="00067692"/>
    <w:rsid w:val="000677F6"/>
    <w:rsid w:val="00067A8C"/>
    <w:rsid w:val="00067AC8"/>
    <w:rsid w:val="00070036"/>
    <w:rsid w:val="000707D5"/>
    <w:rsid w:val="000707F1"/>
    <w:rsid w:val="00070A77"/>
    <w:rsid w:val="00070B2D"/>
    <w:rsid w:val="00071AFB"/>
    <w:rsid w:val="00071D69"/>
    <w:rsid w:val="00071DFB"/>
    <w:rsid w:val="00072900"/>
    <w:rsid w:val="00072F37"/>
    <w:rsid w:val="0007369A"/>
    <w:rsid w:val="00073C42"/>
    <w:rsid w:val="0007472D"/>
    <w:rsid w:val="0007491A"/>
    <w:rsid w:val="00074BF1"/>
    <w:rsid w:val="00074FEB"/>
    <w:rsid w:val="00075047"/>
    <w:rsid w:val="000750DF"/>
    <w:rsid w:val="000752E6"/>
    <w:rsid w:val="000755B2"/>
    <w:rsid w:val="000758BA"/>
    <w:rsid w:val="00075BD5"/>
    <w:rsid w:val="00076140"/>
    <w:rsid w:val="0007735A"/>
    <w:rsid w:val="00077DD3"/>
    <w:rsid w:val="00077EC3"/>
    <w:rsid w:val="00077F06"/>
    <w:rsid w:val="00077F6E"/>
    <w:rsid w:val="00080F74"/>
    <w:rsid w:val="0008139F"/>
    <w:rsid w:val="00081564"/>
    <w:rsid w:val="0008175D"/>
    <w:rsid w:val="000818AF"/>
    <w:rsid w:val="000823EF"/>
    <w:rsid w:val="00082710"/>
    <w:rsid w:val="00082AA4"/>
    <w:rsid w:val="00082C17"/>
    <w:rsid w:val="00082C8A"/>
    <w:rsid w:val="000831A6"/>
    <w:rsid w:val="000837A9"/>
    <w:rsid w:val="000840DF"/>
    <w:rsid w:val="0008418A"/>
    <w:rsid w:val="000849A5"/>
    <w:rsid w:val="00084A37"/>
    <w:rsid w:val="00084BA4"/>
    <w:rsid w:val="00084ED0"/>
    <w:rsid w:val="00085B69"/>
    <w:rsid w:val="00085D62"/>
    <w:rsid w:val="0008693B"/>
    <w:rsid w:val="00086B7B"/>
    <w:rsid w:val="00087048"/>
    <w:rsid w:val="00087287"/>
    <w:rsid w:val="0008738E"/>
    <w:rsid w:val="000873D3"/>
    <w:rsid w:val="00087548"/>
    <w:rsid w:val="00087A4F"/>
    <w:rsid w:val="00087D2B"/>
    <w:rsid w:val="00087E93"/>
    <w:rsid w:val="00087FB6"/>
    <w:rsid w:val="00091203"/>
    <w:rsid w:val="0009135E"/>
    <w:rsid w:val="00091AFD"/>
    <w:rsid w:val="00091D59"/>
    <w:rsid w:val="00091DC2"/>
    <w:rsid w:val="000921BD"/>
    <w:rsid w:val="00092379"/>
    <w:rsid w:val="00092831"/>
    <w:rsid w:val="0009371A"/>
    <w:rsid w:val="00093E7E"/>
    <w:rsid w:val="00095847"/>
    <w:rsid w:val="0009598E"/>
    <w:rsid w:val="00095B7D"/>
    <w:rsid w:val="00095F92"/>
    <w:rsid w:val="00096108"/>
    <w:rsid w:val="0009657C"/>
    <w:rsid w:val="00096625"/>
    <w:rsid w:val="000966CF"/>
    <w:rsid w:val="00096A25"/>
    <w:rsid w:val="00096AB3"/>
    <w:rsid w:val="00096ABA"/>
    <w:rsid w:val="00096F03"/>
    <w:rsid w:val="000972FD"/>
    <w:rsid w:val="00097405"/>
    <w:rsid w:val="00097519"/>
    <w:rsid w:val="000976F2"/>
    <w:rsid w:val="000A057B"/>
    <w:rsid w:val="000A06D0"/>
    <w:rsid w:val="000A08B4"/>
    <w:rsid w:val="000A0E26"/>
    <w:rsid w:val="000A10D0"/>
    <w:rsid w:val="000A1161"/>
    <w:rsid w:val="000A1495"/>
    <w:rsid w:val="000A1686"/>
    <w:rsid w:val="000A1AB5"/>
    <w:rsid w:val="000A1CBC"/>
    <w:rsid w:val="000A2386"/>
    <w:rsid w:val="000A28EE"/>
    <w:rsid w:val="000A2B98"/>
    <w:rsid w:val="000A2E10"/>
    <w:rsid w:val="000A3132"/>
    <w:rsid w:val="000A34B3"/>
    <w:rsid w:val="000A3DF0"/>
    <w:rsid w:val="000A4A71"/>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752"/>
    <w:rsid w:val="000B2988"/>
    <w:rsid w:val="000B29B1"/>
    <w:rsid w:val="000B29CB"/>
    <w:rsid w:val="000B2C39"/>
    <w:rsid w:val="000B2EF7"/>
    <w:rsid w:val="000B30AA"/>
    <w:rsid w:val="000B31FA"/>
    <w:rsid w:val="000B3239"/>
    <w:rsid w:val="000B3519"/>
    <w:rsid w:val="000B3A12"/>
    <w:rsid w:val="000B460F"/>
    <w:rsid w:val="000B47FC"/>
    <w:rsid w:val="000B4E45"/>
    <w:rsid w:val="000B4FDD"/>
    <w:rsid w:val="000B55DC"/>
    <w:rsid w:val="000B6127"/>
    <w:rsid w:val="000B65A6"/>
    <w:rsid w:val="000B6CCD"/>
    <w:rsid w:val="000B7669"/>
    <w:rsid w:val="000B7AC4"/>
    <w:rsid w:val="000C0277"/>
    <w:rsid w:val="000C0B30"/>
    <w:rsid w:val="000C0B6A"/>
    <w:rsid w:val="000C1693"/>
    <w:rsid w:val="000C1D20"/>
    <w:rsid w:val="000C281D"/>
    <w:rsid w:val="000C33C6"/>
    <w:rsid w:val="000C35D8"/>
    <w:rsid w:val="000C387B"/>
    <w:rsid w:val="000C3B3E"/>
    <w:rsid w:val="000C3CC7"/>
    <w:rsid w:val="000C43F7"/>
    <w:rsid w:val="000C44A9"/>
    <w:rsid w:val="000C45B2"/>
    <w:rsid w:val="000C4F0D"/>
    <w:rsid w:val="000C4FBC"/>
    <w:rsid w:val="000C5324"/>
    <w:rsid w:val="000C53F1"/>
    <w:rsid w:val="000C554E"/>
    <w:rsid w:val="000C5859"/>
    <w:rsid w:val="000C591D"/>
    <w:rsid w:val="000C5A02"/>
    <w:rsid w:val="000C5A50"/>
    <w:rsid w:val="000C5F6C"/>
    <w:rsid w:val="000C5F76"/>
    <w:rsid w:val="000C6191"/>
    <w:rsid w:val="000C6278"/>
    <w:rsid w:val="000C6828"/>
    <w:rsid w:val="000C6F86"/>
    <w:rsid w:val="000C7285"/>
    <w:rsid w:val="000C7393"/>
    <w:rsid w:val="000C741C"/>
    <w:rsid w:val="000C760A"/>
    <w:rsid w:val="000C7779"/>
    <w:rsid w:val="000D06B4"/>
    <w:rsid w:val="000D0876"/>
    <w:rsid w:val="000D0C91"/>
    <w:rsid w:val="000D15C7"/>
    <w:rsid w:val="000D1E69"/>
    <w:rsid w:val="000D2313"/>
    <w:rsid w:val="000D261F"/>
    <w:rsid w:val="000D2CD1"/>
    <w:rsid w:val="000D2E35"/>
    <w:rsid w:val="000D3032"/>
    <w:rsid w:val="000D30D6"/>
    <w:rsid w:val="000D3652"/>
    <w:rsid w:val="000D3839"/>
    <w:rsid w:val="000D3E08"/>
    <w:rsid w:val="000D4622"/>
    <w:rsid w:val="000D497A"/>
    <w:rsid w:val="000D4AAF"/>
    <w:rsid w:val="000D4C08"/>
    <w:rsid w:val="000D506C"/>
    <w:rsid w:val="000D53E3"/>
    <w:rsid w:val="000D53E8"/>
    <w:rsid w:val="000D5414"/>
    <w:rsid w:val="000D58B3"/>
    <w:rsid w:val="000D5AC0"/>
    <w:rsid w:val="000D6190"/>
    <w:rsid w:val="000D642A"/>
    <w:rsid w:val="000D6CFC"/>
    <w:rsid w:val="000D6D91"/>
    <w:rsid w:val="000D77FE"/>
    <w:rsid w:val="000D79E3"/>
    <w:rsid w:val="000E054A"/>
    <w:rsid w:val="000E1542"/>
    <w:rsid w:val="000E160E"/>
    <w:rsid w:val="000E16EB"/>
    <w:rsid w:val="000E170D"/>
    <w:rsid w:val="000E17FD"/>
    <w:rsid w:val="000E1D01"/>
    <w:rsid w:val="000E23E9"/>
    <w:rsid w:val="000E281B"/>
    <w:rsid w:val="000E282D"/>
    <w:rsid w:val="000E284C"/>
    <w:rsid w:val="000E2FC9"/>
    <w:rsid w:val="000E47B7"/>
    <w:rsid w:val="000E4830"/>
    <w:rsid w:val="000E4DEA"/>
    <w:rsid w:val="000E54B1"/>
    <w:rsid w:val="000E578A"/>
    <w:rsid w:val="000E5A89"/>
    <w:rsid w:val="000E5D72"/>
    <w:rsid w:val="000E5E0F"/>
    <w:rsid w:val="000E61F7"/>
    <w:rsid w:val="000E62DA"/>
    <w:rsid w:val="000E6634"/>
    <w:rsid w:val="000E680C"/>
    <w:rsid w:val="000E69EA"/>
    <w:rsid w:val="000E6DB3"/>
    <w:rsid w:val="000E6ED4"/>
    <w:rsid w:val="000E6F10"/>
    <w:rsid w:val="000E7213"/>
    <w:rsid w:val="000E7310"/>
    <w:rsid w:val="000E7441"/>
    <w:rsid w:val="000E74A3"/>
    <w:rsid w:val="000E764C"/>
    <w:rsid w:val="000E7B75"/>
    <w:rsid w:val="000E7E19"/>
    <w:rsid w:val="000F0212"/>
    <w:rsid w:val="000F03C2"/>
    <w:rsid w:val="000F0933"/>
    <w:rsid w:val="000F0B28"/>
    <w:rsid w:val="000F0B9C"/>
    <w:rsid w:val="000F15EA"/>
    <w:rsid w:val="000F1EE8"/>
    <w:rsid w:val="000F38AC"/>
    <w:rsid w:val="000F38C9"/>
    <w:rsid w:val="000F42B7"/>
    <w:rsid w:val="000F492D"/>
    <w:rsid w:val="000F5254"/>
    <w:rsid w:val="000F5BD2"/>
    <w:rsid w:val="000F5BD6"/>
    <w:rsid w:val="000F670D"/>
    <w:rsid w:val="000F6D99"/>
    <w:rsid w:val="000F6DB3"/>
    <w:rsid w:val="000F6EBE"/>
    <w:rsid w:val="000F7151"/>
    <w:rsid w:val="000F72A1"/>
    <w:rsid w:val="000F7730"/>
    <w:rsid w:val="000F7E17"/>
    <w:rsid w:val="000F7EFE"/>
    <w:rsid w:val="0010058A"/>
    <w:rsid w:val="001012D3"/>
    <w:rsid w:val="00101AA9"/>
    <w:rsid w:val="00101DB3"/>
    <w:rsid w:val="00101E87"/>
    <w:rsid w:val="00102535"/>
    <w:rsid w:val="0010271F"/>
    <w:rsid w:val="00102971"/>
    <w:rsid w:val="001033DD"/>
    <w:rsid w:val="001034A8"/>
    <w:rsid w:val="0010368E"/>
    <w:rsid w:val="0010399B"/>
    <w:rsid w:val="001039F3"/>
    <w:rsid w:val="00103AE5"/>
    <w:rsid w:val="00104745"/>
    <w:rsid w:val="001049B1"/>
    <w:rsid w:val="00105310"/>
    <w:rsid w:val="001056EA"/>
    <w:rsid w:val="001058C5"/>
    <w:rsid w:val="00107C35"/>
    <w:rsid w:val="00107D35"/>
    <w:rsid w:val="00107D55"/>
    <w:rsid w:val="00107E4A"/>
    <w:rsid w:val="00107FB3"/>
    <w:rsid w:val="0011061C"/>
    <w:rsid w:val="00110912"/>
    <w:rsid w:val="00110947"/>
    <w:rsid w:val="001109C6"/>
    <w:rsid w:val="00110C6C"/>
    <w:rsid w:val="00110DC6"/>
    <w:rsid w:val="00111078"/>
    <w:rsid w:val="001111C1"/>
    <w:rsid w:val="00111212"/>
    <w:rsid w:val="00111CE3"/>
    <w:rsid w:val="00112125"/>
    <w:rsid w:val="00112304"/>
    <w:rsid w:val="001123F8"/>
    <w:rsid w:val="0011244D"/>
    <w:rsid w:val="00112480"/>
    <w:rsid w:val="0011257D"/>
    <w:rsid w:val="0011259F"/>
    <w:rsid w:val="00112CA0"/>
    <w:rsid w:val="00113119"/>
    <w:rsid w:val="0011347F"/>
    <w:rsid w:val="001134AB"/>
    <w:rsid w:val="001135BD"/>
    <w:rsid w:val="001136F7"/>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44A"/>
    <w:rsid w:val="0012015D"/>
    <w:rsid w:val="00120416"/>
    <w:rsid w:val="00120640"/>
    <w:rsid w:val="001206F8"/>
    <w:rsid w:val="0012084B"/>
    <w:rsid w:val="00120AC8"/>
    <w:rsid w:val="00120F09"/>
    <w:rsid w:val="001211BC"/>
    <w:rsid w:val="001211CB"/>
    <w:rsid w:val="001214C6"/>
    <w:rsid w:val="00121877"/>
    <w:rsid w:val="00121E51"/>
    <w:rsid w:val="00121E7E"/>
    <w:rsid w:val="00121FBD"/>
    <w:rsid w:val="001222EC"/>
    <w:rsid w:val="00124490"/>
    <w:rsid w:val="00124A98"/>
    <w:rsid w:val="0012509D"/>
    <w:rsid w:val="0012514B"/>
    <w:rsid w:val="001253C5"/>
    <w:rsid w:val="00125472"/>
    <w:rsid w:val="001255B4"/>
    <w:rsid w:val="00125D12"/>
    <w:rsid w:val="00125D24"/>
    <w:rsid w:val="00125F5E"/>
    <w:rsid w:val="00126320"/>
    <w:rsid w:val="0012637B"/>
    <w:rsid w:val="001266AE"/>
    <w:rsid w:val="00126E09"/>
    <w:rsid w:val="00127147"/>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A1B"/>
    <w:rsid w:val="00132B5A"/>
    <w:rsid w:val="001330B2"/>
    <w:rsid w:val="001332EB"/>
    <w:rsid w:val="001334B1"/>
    <w:rsid w:val="00133661"/>
    <w:rsid w:val="00133B32"/>
    <w:rsid w:val="00133BC2"/>
    <w:rsid w:val="001346B2"/>
    <w:rsid w:val="00134FE0"/>
    <w:rsid w:val="00135448"/>
    <w:rsid w:val="001354B3"/>
    <w:rsid w:val="00135703"/>
    <w:rsid w:val="00135897"/>
    <w:rsid w:val="00135DE1"/>
    <w:rsid w:val="00135F65"/>
    <w:rsid w:val="001365F6"/>
    <w:rsid w:val="00136711"/>
    <w:rsid w:val="00136886"/>
    <w:rsid w:val="00136A04"/>
    <w:rsid w:val="00136CF2"/>
    <w:rsid w:val="001371CE"/>
    <w:rsid w:val="001372E7"/>
    <w:rsid w:val="0013792A"/>
    <w:rsid w:val="00137AC8"/>
    <w:rsid w:val="00137B0F"/>
    <w:rsid w:val="00137EA1"/>
    <w:rsid w:val="00140052"/>
    <w:rsid w:val="0014010C"/>
    <w:rsid w:val="0014068C"/>
    <w:rsid w:val="001406B2"/>
    <w:rsid w:val="00140B44"/>
    <w:rsid w:val="00140D63"/>
    <w:rsid w:val="00141AE4"/>
    <w:rsid w:val="001425CE"/>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B4"/>
    <w:rsid w:val="001454AC"/>
    <w:rsid w:val="001455B4"/>
    <w:rsid w:val="0014582E"/>
    <w:rsid w:val="001462AA"/>
    <w:rsid w:val="00146355"/>
    <w:rsid w:val="00146368"/>
    <w:rsid w:val="001465D8"/>
    <w:rsid w:val="001467F5"/>
    <w:rsid w:val="00147485"/>
    <w:rsid w:val="00147492"/>
    <w:rsid w:val="0014760C"/>
    <w:rsid w:val="00147C78"/>
    <w:rsid w:val="00147CC3"/>
    <w:rsid w:val="00150773"/>
    <w:rsid w:val="00150D7A"/>
    <w:rsid w:val="0015180B"/>
    <w:rsid w:val="00151AA1"/>
    <w:rsid w:val="00151CBD"/>
    <w:rsid w:val="00151D91"/>
    <w:rsid w:val="00151F91"/>
    <w:rsid w:val="001526E3"/>
    <w:rsid w:val="00152EF4"/>
    <w:rsid w:val="00153318"/>
    <w:rsid w:val="00153528"/>
    <w:rsid w:val="001536DB"/>
    <w:rsid w:val="00154136"/>
    <w:rsid w:val="001541D5"/>
    <w:rsid w:val="0015434E"/>
    <w:rsid w:val="001543A1"/>
    <w:rsid w:val="001547D0"/>
    <w:rsid w:val="001557F5"/>
    <w:rsid w:val="00155855"/>
    <w:rsid w:val="00155F8B"/>
    <w:rsid w:val="001561BC"/>
    <w:rsid w:val="001561DB"/>
    <w:rsid w:val="0015621E"/>
    <w:rsid w:val="001563DB"/>
    <w:rsid w:val="00156ADC"/>
    <w:rsid w:val="0015718A"/>
    <w:rsid w:val="0015758A"/>
    <w:rsid w:val="00157C5C"/>
    <w:rsid w:val="001601DA"/>
    <w:rsid w:val="0016090F"/>
    <w:rsid w:val="00161258"/>
    <w:rsid w:val="001617B6"/>
    <w:rsid w:val="0016185D"/>
    <w:rsid w:val="00161B03"/>
    <w:rsid w:val="00161C3C"/>
    <w:rsid w:val="00161C89"/>
    <w:rsid w:val="00161D0F"/>
    <w:rsid w:val="00161E2A"/>
    <w:rsid w:val="001627D6"/>
    <w:rsid w:val="001637BD"/>
    <w:rsid w:val="00163A7D"/>
    <w:rsid w:val="00163C35"/>
    <w:rsid w:val="00163CF1"/>
    <w:rsid w:val="00164BD0"/>
    <w:rsid w:val="00164C80"/>
    <w:rsid w:val="0016596F"/>
    <w:rsid w:val="001659BE"/>
    <w:rsid w:val="00165DE6"/>
    <w:rsid w:val="00166289"/>
    <w:rsid w:val="00167217"/>
    <w:rsid w:val="00167255"/>
    <w:rsid w:val="0016741D"/>
    <w:rsid w:val="00167AD5"/>
    <w:rsid w:val="00167B93"/>
    <w:rsid w:val="00167BC1"/>
    <w:rsid w:val="001714A0"/>
    <w:rsid w:val="00171FC8"/>
    <w:rsid w:val="00172031"/>
    <w:rsid w:val="001726C0"/>
    <w:rsid w:val="00172A27"/>
    <w:rsid w:val="00172BBE"/>
    <w:rsid w:val="00172BF7"/>
    <w:rsid w:val="00172CA2"/>
    <w:rsid w:val="00172DB3"/>
    <w:rsid w:val="00172E78"/>
    <w:rsid w:val="001738D9"/>
    <w:rsid w:val="0017415A"/>
    <w:rsid w:val="00174745"/>
    <w:rsid w:val="00174F7B"/>
    <w:rsid w:val="001756CD"/>
    <w:rsid w:val="00175838"/>
    <w:rsid w:val="00175920"/>
    <w:rsid w:val="00175A87"/>
    <w:rsid w:val="00176309"/>
    <w:rsid w:val="00177347"/>
    <w:rsid w:val="00177C23"/>
    <w:rsid w:val="00177DC6"/>
    <w:rsid w:val="00180D94"/>
    <w:rsid w:val="0018216F"/>
    <w:rsid w:val="001823DE"/>
    <w:rsid w:val="00182660"/>
    <w:rsid w:val="00182B95"/>
    <w:rsid w:val="00182F70"/>
    <w:rsid w:val="001832B6"/>
    <w:rsid w:val="00183568"/>
    <w:rsid w:val="001842CE"/>
    <w:rsid w:val="001848FA"/>
    <w:rsid w:val="00185F8B"/>
    <w:rsid w:val="00185F8E"/>
    <w:rsid w:val="00186247"/>
    <w:rsid w:val="0018628F"/>
    <w:rsid w:val="0018674C"/>
    <w:rsid w:val="001867AC"/>
    <w:rsid w:val="001870D9"/>
    <w:rsid w:val="001872B6"/>
    <w:rsid w:val="00187301"/>
    <w:rsid w:val="0018738D"/>
    <w:rsid w:val="0018741A"/>
    <w:rsid w:val="001876E4"/>
    <w:rsid w:val="00187882"/>
    <w:rsid w:val="00187FC6"/>
    <w:rsid w:val="001909A1"/>
    <w:rsid w:val="001911A9"/>
    <w:rsid w:val="0019146B"/>
    <w:rsid w:val="001917AC"/>
    <w:rsid w:val="00191AD9"/>
    <w:rsid w:val="001921F4"/>
    <w:rsid w:val="00192D96"/>
    <w:rsid w:val="001931F6"/>
    <w:rsid w:val="0019363A"/>
    <w:rsid w:val="001937AA"/>
    <w:rsid w:val="001937BB"/>
    <w:rsid w:val="001938A5"/>
    <w:rsid w:val="00193DDB"/>
    <w:rsid w:val="00193EFD"/>
    <w:rsid w:val="00194286"/>
    <w:rsid w:val="00194735"/>
    <w:rsid w:val="00194AA1"/>
    <w:rsid w:val="00194CFF"/>
    <w:rsid w:val="00194FCC"/>
    <w:rsid w:val="0019508B"/>
    <w:rsid w:val="00195399"/>
    <w:rsid w:val="00195A8B"/>
    <w:rsid w:val="001960E4"/>
    <w:rsid w:val="00196408"/>
    <w:rsid w:val="001964D5"/>
    <w:rsid w:val="00196690"/>
    <w:rsid w:val="001968B4"/>
    <w:rsid w:val="00196B0A"/>
    <w:rsid w:val="001973F8"/>
    <w:rsid w:val="0019768C"/>
    <w:rsid w:val="00197710"/>
    <w:rsid w:val="001A0481"/>
    <w:rsid w:val="001A0871"/>
    <w:rsid w:val="001A08AA"/>
    <w:rsid w:val="001A0FA8"/>
    <w:rsid w:val="001A124D"/>
    <w:rsid w:val="001A21CB"/>
    <w:rsid w:val="001A286A"/>
    <w:rsid w:val="001A2A12"/>
    <w:rsid w:val="001A2A52"/>
    <w:rsid w:val="001A2E72"/>
    <w:rsid w:val="001A2FB4"/>
    <w:rsid w:val="001A3077"/>
    <w:rsid w:val="001A3110"/>
    <w:rsid w:val="001A3478"/>
    <w:rsid w:val="001A4337"/>
    <w:rsid w:val="001A4A3C"/>
    <w:rsid w:val="001A4DB5"/>
    <w:rsid w:val="001A524B"/>
    <w:rsid w:val="001A53BA"/>
    <w:rsid w:val="001A5820"/>
    <w:rsid w:val="001A5826"/>
    <w:rsid w:val="001A58D1"/>
    <w:rsid w:val="001A6207"/>
    <w:rsid w:val="001A633E"/>
    <w:rsid w:val="001A6797"/>
    <w:rsid w:val="001A6E16"/>
    <w:rsid w:val="001A6E90"/>
    <w:rsid w:val="001A764F"/>
    <w:rsid w:val="001B0121"/>
    <w:rsid w:val="001B0463"/>
    <w:rsid w:val="001B0A38"/>
    <w:rsid w:val="001B0A84"/>
    <w:rsid w:val="001B0D2D"/>
    <w:rsid w:val="001B1728"/>
    <w:rsid w:val="001B18A7"/>
    <w:rsid w:val="001B2C9A"/>
    <w:rsid w:val="001B2CE5"/>
    <w:rsid w:val="001B34EB"/>
    <w:rsid w:val="001B3916"/>
    <w:rsid w:val="001B3B19"/>
    <w:rsid w:val="001B3B81"/>
    <w:rsid w:val="001B40CC"/>
    <w:rsid w:val="001B486A"/>
    <w:rsid w:val="001B4974"/>
    <w:rsid w:val="001B4AE1"/>
    <w:rsid w:val="001B50D4"/>
    <w:rsid w:val="001B540F"/>
    <w:rsid w:val="001B5BF3"/>
    <w:rsid w:val="001B5D47"/>
    <w:rsid w:val="001B5D9A"/>
    <w:rsid w:val="001B5ED2"/>
    <w:rsid w:val="001B6586"/>
    <w:rsid w:val="001B67CD"/>
    <w:rsid w:val="001B6A6E"/>
    <w:rsid w:val="001B7066"/>
    <w:rsid w:val="001B7145"/>
    <w:rsid w:val="001B798F"/>
    <w:rsid w:val="001C06BF"/>
    <w:rsid w:val="001C0A17"/>
    <w:rsid w:val="001C0D39"/>
    <w:rsid w:val="001C10FD"/>
    <w:rsid w:val="001C1128"/>
    <w:rsid w:val="001C1B3C"/>
    <w:rsid w:val="001C1D08"/>
    <w:rsid w:val="001C2EA0"/>
    <w:rsid w:val="001C32E6"/>
    <w:rsid w:val="001C3A53"/>
    <w:rsid w:val="001C3B53"/>
    <w:rsid w:val="001C4311"/>
    <w:rsid w:val="001C4E38"/>
    <w:rsid w:val="001C543B"/>
    <w:rsid w:val="001C5443"/>
    <w:rsid w:val="001C5545"/>
    <w:rsid w:val="001C59AB"/>
    <w:rsid w:val="001C5A24"/>
    <w:rsid w:val="001C5C1C"/>
    <w:rsid w:val="001C5F1D"/>
    <w:rsid w:val="001C650A"/>
    <w:rsid w:val="001C6591"/>
    <w:rsid w:val="001C67F3"/>
    <w:rsid w:val="001C7079"/>
    <w:rsid w:val="001C738A"/>
    <w:rsid w:val="001C757F"/>
    <w:rsid w:val="001C77ED"/>
    <w:rsid w:val="001C7859"/>
    <w:rsid w:val="001C793E"/>
    <w:rsid w:val="001C7DB0"/>
    <w:rsid w:val="001D028C"/>
    <w:rsid w:val="001D0E48"/>
    <w:rsid w:val="001D0FFE"/>
    <w:rsid w:val="001D126D"/>
    <w:rsid w:val="001D131B"/>
    <w:rsid w:val="001D1512"/>
    <w:rsid w:val="001D1585"/>
    <w:rsid w:val="001D19C3"/>
    <w:rsid w:val="001D2276"/>
    <w:rsid w:val="001D3DAD"/>
    <w:rsid w:val="001D4640"/>
    <w:rsid w:val="001D4641"/>
    <w:rsid w:val="001D4BD0"/>
    <w:rsid w:val="001D4D9E"/>
    <w:rsid w:val="001D4E60"/>
    <w:rsid w:val="001D50EA"/>
    <w:rsid w:val="001D57E4"/>
    <w:rsid w:val="001D5ADF"/>
    <w:rsid w:val="001D616E"/>
    <w:rsid w:val="001D72E5"/>
    <w:rsid w:val="001D76A8"/>
    <w:rsid w:val="001D7E96"/>
    <w:rsid w:val="001E0219"/>
    <w:rsid w:val="001E0410"/>
    <w:rsid w:val="001E0586"/>
    <w:rsid w:val="001E0749"/>
    <w:rsid w:val="001E0941"/>
    <w:rsid w:val="001E13BC"/>
    <w:rsid w:val="001E145B"/>
    <w:rsid w:val="001E1934"/>
    <w:rsid w:val="001E1E6C"/>
    <w:rsid w:val="001E28C7"/>
    <w:rsid w:val="001E2B9E"/>
    <w:rsid w:val="001E2CC7"/>
    <w:rsid w:val="001E2D4B"/>
    <w:rsid w:val="001E2E25"/>
    <w:rsid w:val="001E3166"/>
    <w:rsid w:val="001E3204"/>
    <w:rsid w:val="001E3289"/>
    <w:rsid w:val="001E3AFC"/>
    <w:rsid w:val="001E3B39"/>
    <w:rsid w:val="001E3F4F"/>
    <w:rsid w:val="001E4477"/>
    <w:rsid w:val="001E4950"/>
    <w:rsid w:val="001E49D3"/>
    <w:rsid w:val="001E4AE0"/>
    <w:rsid w:val="001E4DA4"/>
    <w:rsid w:val="001E4E6A"/>
    <w:rsid w:val="001E5776"/>
    <w:rsid w:val="001E602E"/>
    <w:rsid w:val="001E6163"/>
    <w:rsid w:val="001E63A1"/>
    <w:rsid w:val="001E65F9"/>
    <w:rsid w:val="001E6B75"/>
    <w:rsid w:val="001E6D23"/>
    <w:rsid w:val="001E794D"/>
    <w:rsid w:val="001E7D26"/>
    <w:rsid w:val="001F0C1B"/>
    <w:rsid w:val="001F0EBA"/>
    <w:rsid w:val="001F1091"/>
    <w:rsid w:val="001F11FF"/>
    <w:rsid w:val="001F125B"/>
    <w:rsid w:val="001F1261"/>
    <w:rsid w:val="001F13C6"/>
    <w:rsid w:val="001F1723"/>
    <w:rsid w:val="001F186E"/>
    <w:rsid w:val="001F1E32"/>
    <w:rsid w:val="001F22A7"/>
    <w:rsid w:val="001F23CA"/>
    <w:rsid w:val="001F24FC"/>
    <w:rsid w:val="001F2594"/>
    <w:rsid w:val="001F279B"/>
    <w:rsid w:val="001F289B"/>
    <w:rsid w:val="001F2E1C"/>
    <w:rsid w:val="001F379F"/>
    <w:rsid w:val="001F4939"/>
    <w:rsid w:val="001F49AC"/>
    <w:rsid w:val="001F5118"/>
    <w:rsid w:val="001F5202"/>
    <w:rsid w:val="001F542C"/>
    <w:rsid w:val="001F59C1"/>
    <w:rsid w:val="001F5C3C"/>
    <w:rsid w:val="001F6689"/>
    <w:rsid w:val="001F72AA"/>
    <w:rsid w:val="001F737E"/>
    <w:rsid w:val="001F74DE"/>
    <w:rsid w:val="001F7FF4"/>
    <w:rsid w:val="002004AE"/>
    <w:rsid w:val="0020073C"/>
    <w:rsid w:val="00200C5B"/>
    <w:rsid w:val="00200DFD"/>
    <w:rsid w:val="002015D3"/>
    <w:rsid w:val="00201630"/>
    <w:rsid w:val="00201FD5"/>
    <w:rsid w:val="002023A0"/>
    <w:rsid w:val="002023B3"/>
    <w:rsid w:val="00202603"/>
    <w:rsid w:val="00202659"/>
    <w:rsid w:val="00202925"/>
    <w:rsid w:val="00202AE7"/>
    <w:rsid w:val="00202F35"/>
    <w:rsid w:val="0020313B"/>
    <w:rsid w:val="00203905"/>
    <w:rsid w:val="00203C90"/>
    <w:rsid w:val="00203D7F"/>
    <w:rsid w:val="00204506"/>
    <w:rsid w:val="00205847"/>
    <w:rsid w:val="00205ADF"/>
    <w:rsid w:val="0020670D"/>
    <w:rsid w:val="0020684D"/>
    <w:rsid w:val="0020688F"/>
    <w:rsid w:val="00206FCE"/>
    <w:rsid w:val="0020712E"/>
    <w:rsid w:val="0020745B"/>
    <w:rsid w:val="002076BB"/>
    <w:rsid w:val="002111E8"/>
    <w:rsid w:val="0021141F"/>
    <w:rsid w:val="002119C8"/>
    <w:rsid w:val="00211C4A"/>
    <w:rsid w:val="00211DA9"/>
    <w:rsid w:val="00211ECE"/>
    <w:rsid w:val="00212244"/>
    <w:rsid w:val="00212373"/>
    <w:rsid w:val="0021250B"/>
    <w:rsid w:val="00212513"/>
    <w:rsid w:val="00212C7B"/>
    <w:rsid w:val="00212D85"/>
    <w:rsid w:val="00212F7F"/>
    <w:rsid w:val="002133D9"/>
    <w:rsid w:val="002138EA"/>
    <w:rsid w:val="002143B4"/>
    <w:rsid w:val="00214FBD"/>
    <w:rsid w:val="00215038"/>
    <w:rsid w:val="002150BA"/>
    <w:rsid w:val="002150C3"/>
    <w:rsid w:val="00215120"/>
    <w:rsid w:val="00216034"/>
    <w:rsid w:val="0021603A"/>
    <w:rsid w:val="002168BA"/>
    <w:rsid w:val="00216D2C"/>
    <w:rsid w:val="00216EFD"/>
    <w:rsid w:val="002172BF"/>
    <w:rsid w:val="00217582"/>
    <w:rsid w:val="00217CE6"/>
    <w:rsid w:val="00217FE5"/>
    <w:rsid w:val="00220178"/>
    <w:rsid w:val="00220248"/>
    <w:rsid w:val="00220624"/>
    <w:rsid w:val="00220881"/>
    <w:rsid w:val="00220E1C"/>
    <w:rsid w:val="00221159"/>
    <w:rsid w:val="00221E0F"/>
    <w:rsid w:val="002221C5"/>
    <w:rsid w:val="0022234E"/>
    <w:rsid w:val="002223A7"/>
    <w:rsid w:val="00222897"/>
    <w:rsid w:val="00222C4F"/>
    <w:rsid w:val="002230B9"/>
    <w:rsid w:val="00223269"/>
    <w:rsid w:val="00223FAE"/>
    <w:rsid w:val="0022484E"/>
    <w:rsid w:val="00224E87"/>
    <w:rsid w:val="0022500E"/>
    <w:rsid w:val="0022536E"/>
    <w:rsid w:val="002254A0"/>
    <w:rsid w:val="00225DE7"/>
    <w:rsid w:val="00226451"/>
    <w:rsid w:val="00226FC2"/>
    <w:rsid w:val="00227077"/>
    <w:rsid w:val="0022718D"/>
    <w:rsid w:val="00227A7E"/>
    <w:rsid w:val="00227C34"/>
    <w:rsid w:val="00227F08"/>
    <w:rsid w:val="0023018A"/>
    <w:rsid w:val="002301D4"/>
    <w:rsid w:val="00230589"/>
    <w:rsid w:val="002308A8"/>
    <w:rsid w:val="002309E9"/>
    <w:rsid w:val="00230BC5"/>
    <w:rsid w:val="00230EF1"/>
    <w:rsid w:val="00231364"/>
    <w:rsid w:val="002319B7"/>
    <w:rsid w:val="00231E92"/>
    <w:rsid w:val="00231FA3"/>
    <w:rsid w:val="002322CA"/>
    <w:rsid w:val="0023260D"/>
    <w:rsid w:val="00232661"/>
    <w:rsid w:val="002326CD"/>
    <w:rsid w:val="0023371F"/>
    <w:rsid w:val="002338AC"/>
    <w:rsid w:val="002341A1"/>
    <w:rsid w:val="0023422F"/>
    <w:rsid w:val="0023437B"/>
    <w:rsid w:val="00235208"/>
    <w:rsid w:val="00235394"/>
    <w:rsid w:val="0023567A"/>
    <w:rsid w:val="00235A00"/>
    <w:rsid w:val="00235A9B"/>
    <w:rsid w:val="00235E05"/>
    <w:rsid w:val="00236127"/>
    <w:rsid w:val="002368A9"/>
    <w:rsid w:val="002376C1"/>
    <w:rsid w:val="00240381"/>
    <w:rsid w:val="002403C3"/>
    <w:rsid w:val="00241874"/>
    <w:rsid w:val="00241D4B"/>
    <w:rsid w:val="00241FBD"/>
    <w:rsid w:val="002421B2"/>
    <w:rsid w:val="00242543"/>
    <w:rsid w:val="002425C9"/>
    <w:rsid w:val="00242649"/>
    <w:rsid w:val="0024276D"/>
    <w:rsid w:val="0024348C"/>
    <w:rsid w:val="0024372C"/>
    <w:rsid w:val="00243A9A"/>
    <w:rsid w:val="00243AD6"/>
    <w:rsid w:val="00243C73"/>
    <w:rsid w:val="00243FEF"/>
    <w:rsid w:val="002444F4"/>
    <w:rsid w:val="002446EE"/>
    <w:rsid w:val="00244862"/>
    <w:rsid w:val="00244DC3"/>
    <w:rsid w:val="00244F94"/>
    <w:rsid w:val="00245066"/>
    <w:rsid w:val="002451FF"/>
    <w:rsid w:val="0024528A"/>
    <w:rsid w:val="00245B82"/>
    <w:rsid w:val="002461D2"/>
    <w:rsid w:val="00246231"/>
    <w:rsid w:val="0024657D"/>
    <w:rsid w:val="00246774"/>
    <w:rsid w:val="00246A81"/>
    <w:rsid w:val="00246CB5"/>
    <w:rsid w:val="00246D98"/>
    <w:rsid w:val="002475F4"/>
    <w:rsid w:val="002476AE"/>
    <w:rsid w:val="00247DDD"/>
    <w:rsid w:val="00247F18"/>
    <w:rsid w:val="00250253"/>
    <w:rsid w:val="0025028C"/>
    <w:rsid w:val="0025033E"/>
    <w:rsid w:val="002506F0"/>
    <w:rsid w:val="0025092D"/>
    <w:rsid w:val="00250DFA"/>
    <w:rsid w:val="002518A8"/>
    <w:rsid w:val="002518B6"/>
    <w:rsid w:val="002520B3"/>
    <w:rsid w:val="002522DB"/>
    <w:rsid w:val="002523AB"/>
    <w:rsid w:val="00253990"/>
    <w:rsid w:val="00253C35"/>
    <w:rsid w:val="00253CD8"/>
    <w:rsid w:val="002542B6"/>
    <w:rsid w:val="002542E7"/>
    <w:rsid w:val="00254480"/>
    <w:rsid w:val="002544E0"/>
    <w:rsid w:val="0025463B"/>
    <w:rsid w:val="0025477F"/>
    <w:rsid w:val="002549FC"/>
    <w:rsid w:val="00254CB9"/>
    <w:rsid w:val="00254FF1"/>
    <w:rsid w:val="00255702"/>
    <w:rsid w:val="0025589C"/>
    <w:rsid w:val="00255AA3"/>
    <w:rsid w:val="00255AD0"/>
    <w:rsid w:val="002563D7"/>
    <w:rsid w:val="0025698F"/>
    <w:rsid w:val="00256B89"/>
    <w:rsid w:val="00256EF5"/>
    <w:rsid w:val="002570A5"/>
    <w:rsid w:val="00257D06"/>
    <w:rsid w:val="002600E8"/>
    <w:rsid w:val="00260451"/>
    <w:rsid w:val="0026071D"/>
    <w:rsid w:val="00260B14"/>
    <w:rsid w:val="00260CE4"/>
    <w:rsid w:val="00260D89"/>
    <w:rsid w:val="0026113C"/>
    <w:rsid w:val="00261506"/>
    <w:rsid w:val="002616D3"/>
    <w:rsid w:val="0026179F"/>
    <w:rsid w:val="00261A77"/>
    <w:rsid w:val="00261B21"/>
    <w:rsid w:val="00261BAE"/>
    <w:rsid w:val="00261BF3"/>
    <w:rsid w:val="00261DDE"/>
    <w:rsid w:val="002620E8"/>
    <w:rsid w:val="00262C64"/>
    <w:rsid w:val="00262DCC"/>
    <w:rsid w:val="00263FFC"/>
    <w:rsid w:val="00264340"/>
    <w:rsid w:val="002646A7"/>
    <w:rsid w:val="00264AFA"/>
    <w:rsid w:val="00264D02"/>
    <w:rsid w:val="0026507F"/>
    <w:rsid w:val="00265D21"/>
    <w:rsid w:val="00266458"/>
    <w:rsid w:val="00266484"/>
    <w:rsid w:val="00266D82"/>
    <w:rsid w:val="00266F37"/>
    <w:rsid w:val="002672F0"/>
    <w:rsid w:val="0026790A"/>
    <w:rsid w:val="002679DC"/>
    <w:rsid w:val="002679EB"/>
    <w:rsid w:val="00267AE9"/>
    <w:rsid w:val="00270151"/>
    <w:rsid w:val="00270245"/>
    <w:rsid w:val="00270516"/>
    <w:rsid w:val="002709DC"/>
    <w:rsid w:val="0027100B"/>
    <w:rsid w:val="002712F9"/>
    <w:rsid w:val="0027154A"/>
    <w:rsid w:val="002719F2"/>
    <w:rsid w:val="00271A62"/>
    <w:rsid w:val="002724C6"/>
    <w:rsid w:val="0027283C"/>
    <w:rsid w:val="0027294D"/>
    <w:rsid w:val="00272A4A"/>
    <w:rsid w:val="00273B32"/>
    <w:rsid w:val="0027460D"/>
    <w:rsid w:val="0027495A"/>
    <w:rsid w:val="00274B84"/>
    <w:rsid w:val="00274DF0"/>
    <w:rsid w:val="00274E1A"/>
    <w:rsid w:val="00275335"/>
    <w:rsid w:val="0027587E"/>
    <w:rsid w:val="002758F5"/>
    <w:rsid w:val="00275A94"/>
    <w:rsid w:val="00275CF8"/>
    <w:rsid w:val="0027608F"/>
    <w:rsid w:val="002760C3"/>
    <w:rsid w:val="00276B32"/>
    <w:rsid w:val="00276C30"/>
    <w:rsid w:val="00276EFE"/>
    <w:rsid w:val="002770F4"/>
    <w:rsid w:val="002772BE"/>
    <w:rsid w:val="00277605"/>
    <w:rsid w:val="00277DC3"/>
    <w:rsid w:val="00277DDA"/>
    <w:rsid w:val="002805CF"/>
    <w:rsid w:val="002808EC"/>
    <w:rsid w:val="00280BA0"/>
    <w:rsid w:val="00280CE6"/>
    <w:rsid w:val="00280D19"/>
    <w:rsid w:val="002810D6"/>
    <w:rsid w:val="00281205"/>
    <w:rsid w:val="00281B5F"/>
    <w:rsid w:val="00281C9D"/>
    <w:rsid w:val="00282103"/>
    <w:rsid w:val="00282213"/>
    <w:rsid w:val="002822C4"/>
    <w:rsid w:val="0028242D"/>
    <w:rsid w:val="0028249F"/>
    <w:rsid w:val="002829CB"/>
    <w:rsid w:val="00282C6E"/>
    <w:rsid w:val="00283211"/>
    <w:rsid w:val="00283257"/>
    <w:rsid w:val="00284470"/>
    <w:rsid w:val="00284630"/>
    <w:rsid w:val="00284B89"/>
    <w:rsid w:val="00284CCA"/>
    <w:rsid w:val="00285C11"/>
    <w:rsid w:val="002865DA"/>
    <w:rsid w:val="00286D9C"/>
    <w:rsid w:val="00287BC6"/>
    <w:rsid w:val="00287D35"/>
    <w:rsid w:val="00287F3C"/>
    <w:rsid w:val="002900B9"/>
    <w:rsid w:val="00290B55"/>
    <w:rsid w:val="00290FBE"/>
    <w:rsid w:val="00291012"/>
    <w:rsid w:val="00291663"/>
    <w:rsid w:val="0029193E"/>
    <w:rsid w:val="00291DB8"/>
    <w:rsid w:val="00291E91"/>
    <w:rsid w:val="002923F6"/>
    <w:rsid w:val="0029260C"/>
    <w:rsid w:val="00292870"/>
    <w:rsid w:val="002933E2"/>
    <w:rsid w:val="00293C00"/>
    <w:rsid w:val="002940CF"/>
    <w:rsid w:val="00294129"/>
    <w:rsid w:val="00294474"/>
    <w:rsid w:val="00294BAD"/>
    <w:rsid w:val="00294D0A"/>
    <w:rsid w:val="00294FB7"/>
    <w:rsid w:val="0029575B"/>
    <w:rsid w:val="002958AA"/>
    <w:rsid w:val="00295C67"/>
    <w:rsid w:val="00296608"/>
    <w:rsid w:val="0029697B"/>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38B8"/>
    <w:rsid w:val="002A3ADD"/>
    <w:rsid w:val="002A3D49"/>
    <w:rsid w:val="002A3D60"/>
    <w:rsid w:val="002A3E9B"/>
    <w:rsid w:val="002A4542"/>
    <w:rsid w:val="002A468C"/>
    <w:rsid w:val="002A474D"/>
    <w:rsid w:val="002A484D"/>
    <w:rsid w:val="002A4BC9"/>
    <w:rsid w:val="002A5177"/>
    <w:rsid w:val="002A58B0"/>
    <w:rsid w:val="002A60C6"/>
    <w:rsid w:val="002A63E4"/>
    <w:rsid w:val="002A6541"/>
    <w:rsid w:val="002A68BB"/>
    <w:rsid w:val="002A6FE9"/>
    <w:rsid w:val="002A7BB1"/>
    <w:rsid w:val="002A7E5E"/>
    <w:rsid w:val="002B00DB"/>
    <w:rsid w:val="002B0CEE"/>
    <w:rsid w:val="002B0EED"/>
    <w:rsid w:val="002B0F18"/>
    <w:rsid w:val="002B1406"/>
    <w:rsid w:val="002B14CC"/>
    <w:rsid w:val="002B1584"/>
    <w:rsid w:val="002B1856"/>
    <w:rsid w:val="002B1B3B"/>
    <w:rsid w:val="002B205B"/>
    <w:rsid w:val="002B206D"/>
    <w:rsid w:val="002B3471"/>
    <w:rsid w:val="002B3544"/>
    <w:rsid w:val="002B35C7"/>
    <w:rsid w:val="002B3944"/>
    <w:rsid w:val="002B3B0F"/>
    <w:rsid w:val="002B3DCF"/>
    <w:rsid w:val="002B429C"/>
    <w:rsid w:val="002B45FE"/>
    <w:rsid w:val="002B4B5E"/>
    <w:rsid w:val="002B4ECF"/>
    <w:rsid w:val="002B4EFE"/>
    <w:rsid w:val="002B5490"/>
    <w:rsid w:val="002B5E3D"/>
    <w:rsid w:val="002B6292"/>
    <w:rsid w:val="002B64D9"/>
    <w:rsid w:val="002B6CEF"/>
    <w:rsid w:val="002B7880"/>
    <w:rsid w:val="002B7BB5"/>
    <w:rsid w:val="002B7BC4"/>
    <w:rsid w:val="002B7D5E"/>
    <w:rsid w:val="002B7D86"/>
    <w:rsid w:val="002C08A4"/>
    <w:rsid w:val="002C0F63"/>
    <w:rsid w:val="002C19F7"/>
    <w:rsid w:val="002C1A0D"/>
    <w:rsid w:val="002C1CE3"/>
    <w:rsid w:val="002C2854"/>
    <w:rsid w:val="002C2E63"/>
    <w:rsid w:val="002C2FE0"/>
    <w:rsid w:val="002C33DA"/>
    <w:rsid w:val="002C3572"/>
    <w:rsid w:val="002C3F4C"/>
    <w:rsid w:val="002C431D"/>
    <w:rsid w:val="002C44E3"/>
    <w:rsid w:val="002C44FA"/>
    <w:rsid w:val="002C4A3D"/>
    <w:rsid w:val="002C4C43"/>
    <w:rsid w:val="002C4DD5"/>
    <w:rsid w:val="002C5265"/>
    <w:rsid w:val="002C5749"/>
    <w:rsid w:val="002C587C"/>
    <w:rsid w:val="002C6771"/>
    <w:rsid w:val="002C6BE6"/>
    <w:rsid w:val="002C6F0B"/>
    <w:rsid w:val="002C6FE3"/>
    <w:rsid w:val="002C706B"/>
    <w:rsid w:val="002C709B"/>
    <w:rsid w:val="002C7178"/>
    <w:rsid w:val="002C7723"/>
    <w:rsid w:val="002C7C3D"/>
    <w:rsid w:val="002D06F5"/>
    <w:rsid w:val="002D1BF6"/>
    <w:rsid w:val="002D1E41"/>
    <w:rsid w:val="002D20CA"/>
    <w:rsid w:val="002D2208"/>
    <w:rsid w:val="002D350E"/>
    <w:rsid w:val="002D36ED"/>
    <w:rsid w:val="002D3E7B"/>
    <w:rsid w:val="002D401B"/>
    <w:rsid w:val="002D4052"/>
    <w:rsid w:val="002D4061"/>
    <w:rsid w:val="002D441B"/>
    <w:rsid w:val="002D4AEA"/>
    <w:rsid w:val="002D4CAD"/>
    <w:rsid w:val="002D4E87"/>
    <w:rsid w:val="002D5ED8"/>
    <w:rsid w:val="002D69AB"/>
    <w:rsid w:val="002D6A4C"/>
    <w:rsid w:val="002D707B"/>
    <w:rsid w:val="002D722B"/>
    <w:rsid w:val="002D74B6"/>
    <w:rsid w:val="002D755B"/>
    <w:rsid w:val="002D7991"/>
    <w:rsid w:val="002E0386"/>
    <w:rsid w:val="002E08D7"/>
    <w:rsid w:val="002E0A0B"/>
    <w:rsid w:val="002E11A5"/>
    <w:rsid w:val="002E1297"/>
    <w:rsid w:val="002E1384"/>
    <w:rsid w:val="002E260B"/>
    <w:rsid w:val="002E2613"/>
    <w:rsid w:val="002E2CFD"/>
    <w:rsid w:val="002E358B"/>
    <w:rsid w:val="002E3C5D"/>
    <w:rsid w:val="002E3E7F"/>
    <w:rsid w:val="002E4094"/>
    <w:rsid w:val="002E41A1"/>
    <w:rsid w:val="002E42B6"/>
    <w:rsid w:val="002E4368"/>
    <w:rsid w:val="002E49B2"/>
    <w:rsid w:val="002E4A50"/>
    <w:rsid w:val="002E4AA4"/>
    <w:rsid w:val="002E4B8B"/>
    <w:rsid w:val="002E51F7"/>
    <w:rsid w:val="002E5799"/>
    <w:rsid w:val="002E5C45"/>
    <w:rsid w:val="002E63B8"/>
    <w:rsid w:val="002E68F1"/>
    <w:rsid w:val="002E6D78"/>
    <w:rsid w:val="002E6D93"/>
    <w:rsid w:val="002E71BF"/>
    <w:rsid w:val="002E721F"/>
    <w:rsid w:val="002E7347"/>
    <w:rsid w:val="002E7664"/>
    <w:rsid w:val="002E7DE5"/>
    <w:rsid w:val="002F0222"/>
    <w:rsid w:val="002F030F"/>
    <w:rsid w:val="002F033C"/>
    <w:rsid w:val="002F0E2A"/>
    <w:rsid w:val="002F10E3"/>
    <w:rsid w:val="002F1216"/>
    <w:rsid w:val="002F13AD"/>
    <w:rsid w:val="002F13D3"/>
    <w:rsid w:val="002F1637"/>
    <w:rsid w:val="002F18EE"/>
    <w:rsid w:val="002F1BCA"/>
    <w:rsid w:val="002F1FEB"/>
    <w:rsid w:val="002F24A3"/>
    <w:rsid w:val="002F25CC"/>
    <w:rsid w:val="002F2B29"/>
    <w:rsid w:val="002F2DA6"/>
    <w:rsid w:val="002F2DFF"/>
    <w:rsid w:val="002F37A4"/>
    <w:rsid w:val="002F39B1"/>
    <w:rsid w:val="002F3BD7"/>
    <w:rsid w:val="002F3F0F"/>
    <w:rsid w:val="002F4093"/>
    <w:rsid w:val="002F40CC"/>
    <w:rsid w:val="002F42C6"/>
    <w:rsid w:val="002F5004"/>
    <w:rsid w:val="002F514D"/>
    <w:rsid w:val="002F562B"/>
    <w:rsid w:val="002F5BAE"/>
    <w:rsid w:val="002F6206"/>
    <w:rsid w:val="002F63F6"/>
    <w:rsid w:val="002F6B27"/>
    <w:rsid w:val="002F7B2B"/>
    <w:rsid w:val="002F7D50"/>
    <w:rsid w:val="002F7F6D"/>
    <w:rsid w:val="002F7F93"/>
    <w:rsid w:val="003006F9"/>
    <w:rsid w:val="00300865"/>
    <w:rsid w:val="00300AA0"/>
    <w:rsid w:val="00301267"/>
    <w:rsid w:val="00301778"/>
    <w:rsid w:val="003018E2"/>
    <w:rsid w:val="00301B71"/>
    <w:rsid w:val="00301BDC"/>
    <w:rsid w:val="00301D35"/>
    <w:rsid w:val="00301D7C"/>
    <w:rsid w:val="0030228C"/>
    <w:rsid w:val="00302B73"/>
    <w:rsid w:val="00302C96"/>
    <w:rsid w:val="003030D5"/>
    <w:rsid w:val="00303327"/>
    <w:rsid w:val="003035F5"/>
    <w:rsid w:val="00303ECF"/>
    <w:rsid w:val="00304135"/>
    <w:rsid w:val="00304AE6"/>
    <w:rsid w:val="00304BEC"/>
    <w:rsid w:val="003052DA"/>
    <w:rsid w:val="00305457"/>
    <w:rsid w:val="00305511"/>
    <w:rsid w:val="003055DD"/>
    <w:rsid w:val="00305737"/>
    <w:rsid w:val="003069E6"/>
    <w:rsid w:val="00306AC9"/>
    <w:rsid w:val="00306AD6"/>
    <w:rsid w:val="00306B74"/>
    <w:rsid w:val="00306BE1"/>
    <w:rsid w:val="00306C9D"/>
    <w:rsid w:val="00306D6C"/>
    <w:rsid w:val="003072A9"/>
    <w:rsid w:val="0030752C"/>
    <w:rsid w:val="00307DB0"/>
    <w:rsid w:val="00310282"/>
    <w:rsid w:val="003102D3"/>
    <w:rsid w:val="0031046F"/>
    <w:rsid w:val="00311CA4"/>
    <w:rsid w:val="00311CCF"/>
    <w:rsid w:val="00311D13"/>
    <w:rsid w:val="00311DE7"/>
    <w:rsid w:val="003124A0"/>
    <w:rsid w:val="00312BD4"/>
    <w:rsid w:val="00312BFA"/>
    <w:rsid w:val="00313089"/>
    <w:rsid w:val="003137EF"/>
    <w:rsid w:val="00313845"/>
    <w:rsid w:val="0031420F"/>
    <w:rsid w:val="003142D3"/>
    <w:rsid w:val="00314472"/>
    <w:rsid w:val="00314BF4"/>
    <w:rsid w:val="00315516"/>
    <w:rsid w:val="00315F09"/>
    <w:rsid w:val="003163FD"/>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10CC"/>
    <w:rsid w:val="0032183E"/>
    <w:rsid w:val="00322D59"/>
    <w:rsid w:val="003230B0"/>
    <w:rsid w:val="00323202"/>
    <w:rsid w:val="00323842"/>
    <w:rsid w:val="00323948"/>
    <w:rsid w:val="00323FC1"/>
    <w:rsid w:val="00324189"/>
    <w:rsid w:val="003243AD"/>
    <w:rsid w:val="003248E9"/>
    <w:rsid w:val="00324EEC"/>
    <w:rsid w:val="003252ED"/>
    <w:rsid w:val="0032595C"/>
    <w:rsid w:val="0032649E"/>
    <w:rsid w:val="003267B6"/>
    <w:rsid w:val="00326B16"/>
    <w:rsid w:val="0032746B"/>
    <w:rsid w:val="0032752D"/>
    <w:rsid w:val="00327889"/>
    <w:rsid w:val="00327AFD"/>
    <w:rsid w:val="00327F43"/>
    <w:rsid w:val="00330967"/>
    <w:rsid w:val="00331234"/>
    <w:rsid w:val="00331BFD"/>
    <w:rsid w:val="00331D62"/>
    <w:rsid w:val="00331F8D"/>
    <w:rsid w:val="00332442"/>
    <w:rsid w:val="00332A98"/>
    <w:rsid w:val="00332AD8"/>
    <w:rsid w:val="00332D36"/>
    <w:rsid w:val="00332E43"/>
    <w:rsid w:val="00333703"/>
    <w:rsid w:val="00333FF3"/>
    <w:rsid w:val="003341A6"/>
    <w:rsid w:val="003344C1"/>
    <w:rsid w:val="00334898"/>
    <w:rsid w:val="00334920"/>
    <w:rsid w:val="00334D68"/>
    <w:rsid w:val="00335026"/>
    <w:rsid w:val="003352A3"/>
    <w:rsid w:val="003352AA"/>
    <w:rsid w:val="003352AC"/>
    <w:rsid w:val="003355C4"/>
    <w:rsid w:val="00335CE5"/>
    <w:rsid w:val="00335E45"/>
    <w:rsid w:val="003366B3"/>
    <w:rsid w:val="00336BD0"/>
    <w:rsid w:val="00337259"/>
    <w:rsid w:val="003379C2"/>
    <w:rsid w:val="003379C8"/>
    <w:rsid w:val="00337DE2"/>
    <w:rsid w:val="00340510"/>
    <w:rsid w:val="00340ADD"/>
    <w:rsid w:val="00340D72"/>
    <w:rsid w:val="00340EEB"/>
    <w:rsid w:val="00340F43"/>
    <w:rsid w:val="003411C2"/>
    <w:rsid w:val="00341224"/>
    <w:rsid w:val="00341375"/>
    <w:rsid w:val="003418BD"/>
    <w:rsid w:val="00341B1D"/>
    <w:rsid w:val="00341D9C"/>
    <w:rsid w:val="00341DDC"/>
    <w:rsid w:val="00341EE4"/>
    <w:rsid w:val="00342018"/>
    <w:rsid w:val="003426EC"/>
    <w:rsid w:val="00342CF6"/>
    <w:rsid w:val="00342E7F"/>
    <w:rsid w:val="00343591"/>
    <w:rsid w:val="003437DB"/>
    <w:rsid w:val="00343E09"/>
    <w:rsid w:val="00343E63"/>
    <w:rsid w:val="003442D3"/>
    <w:rsid w:val="003445ED"/>
    <w:rsid w:val="003447EE"/>
    <w:rsid w:val="00344C3A"/>
    <w:rsid w:val="00344C90"/>
    <w:rsid w:val="00344D96"/>
    <w:rsid w:val="00344DFF"/>
    <w:rsid w:val="00344F09"/>
    <w:rsid w:val="00345127"/>
    <w:rsid w:val="00345FE2"/>
    <w:rsid w:val="0034608E"/>
    <w:rsid w:val="00346166"/>
    <w:rsid w:val="00346693"/>
    <w:rsid w:val="003466D5"/>
    <w:rsid w:val="003466EC"/>
    <w:rsid w:val="0034685B"/>
    <w:rsid w:val="00346A7A"/>
    <w:rsid w:val="00346B9D"/>
    <w:rsid w:val="00346D46"/>
    <w:rsid w:val="003474CB"/>
    <w:rsid w:val="003475B4"/>
    <w:rsid w:val="00347608"/>
    <w:rsid w:val="00350355"/>
    <w:rsid w:val="0035054E"/>
    <w:rsid w:val="00350818"/>
    <w:rsid w:val="00350D1C"/>
    <w:rsid w:val="00350E37"/>
    <w:rsid w:val="00350F6D"/>
    <w:rsid w:val="00352126"/>
    <w:rsid w:val="00352934"/>
    <w:rsid w:val="003534EE"/>
    <w:rsid w:val="00353C8B"/>
    <w:rsid w:val="003540D1"/>
    <w:rsid w:val="00354266"/>
    <w:rsid w:val="00354472"/>
    <w:rsid w:val="0035457C"/>
    <w:rsid w:val="0035546E"/>
    <w:rsid w:val="00355742"/>
    <w:rsid w:val="0035673A"/>
    <w:rsid w:val="00356AC4"/>
    <w:rsid w:val="00356B89"/>
    <w:rsid w:val="003579DB"/>
    <w:rsid w:val="00357BF1"/>
    <w:rsid w:val="00357DDA"/>
    <w:rsid w:val="00360C42"/>
    <w:rsid w:val="0036184F"/>
    <w:rsid w:val="00361DD8"/>
    <w:rsid w:val="003622D8"/>
    <w:rsid w:val="003628F4"/>
    <w:rsid w:val="00362AE6"/>
    <w:rsid w:val="00363313"/>
    <w:rsid w:val="0036363F"/>
    <w:rsid w:val="003637D5"/>
    <w:rsid w:val="003638AD"/>
    <w:rsid w:val="00363CC9"/>
    <w:rsid w:val="00363E39"/>
    <w:rsid w:val="00364521"/>
    <w:rsid w:val="00364583"/>
    <w:rsid w:val="003645EB"/>
    <w:rsid w:val="0036471C"/>
    <w:rsid w:val="003648E0"/>
    <w:rsid w:val="00364B81"/>
    <w:rsid w:val="00364C3B"/>
    <w:rsid w:val="00364CFD"/>
    <w:rsid w:val="00364D8E"/>
    <w:rsid w:val="0036517E"/>
    <w:rsid w:val="0036535F"/>
    <w:rsid w:val="003655D2"/>
    <w:rsid w:val="0036596F"/>
    <w:rsid w:val="00366305"/>
    <w:rsid w:val="00366B3B"/>
    <w:rsid w:val="00366C78"/>
    <w:rsid w:val="00367724"/>
    <w:rsid w:val="00367ED4"/>
    <w:rsid w:val="003703A4"/>
    <w:rsid w:val="003708B4"/>
    <w:rsid w:val="0037097E"/>
    <w:rsid w:val="00370D2B"/>
    <w:rsid w:val="00371FCD"/>
    <w:rsid w:val="003721C9"/>
    <w:rsid w:val="003721DD"/>
    <w:rsid w:val="00372324"/>
    <w:rsid w:val="00372475"/>
    <w:rsid w:val="003724A3"/>
    <w:rsid w:val="0037264D"/>
    <w:rsid w:val="00372705"/>
    <w:rsid w:val="00373307"/>
    <w:rsid w:val="00373354"/>
    <w:rsid w:val="00373904"/>
    <w:rsid w:val="003745F6"/>
    <w:rsid w:val="003746BC"/>
    <w:rsid w:val="003746EF"/>
    <w:rsid w:val="003748B1"/>
    <w:rsid w:val="00374B71"/>
    <w:rsid w:val="00374D83"/>
    <w:rsid w:val="00374E65"/>
    <w:rsid w:val="00374E6A"/>
    <w:rsid w:val="003753D5"/>
    <w:rsid w:val="00375669"/>
    <w:rsid w:val="003760C6"/>
    <w:rsid w:val="003765C0"/>
    <w:rsid w:val="0037662B"/>
    <w:rsid w:val="003768E2"/>
    <w:rsid w:val="00376BCD"/>
    <w:rsid w:val="00376BF0"/>
    <w:rsid w:val="0037730D"/>
    <w:rsid w:val="00377B02"/>
    <w:rsid w:val="00377DE3"/>
    <w:rsid w:val="003804CD"/>
    <w:rsid w:val="003804D3"/>
    <w:rsid w:val="0038067C"/>
    <w:rsid w:val="00380A64"/>
    <w:rsid w:val="00381497"/>
    <w:rsid w:val="0038156F"/>
    <w:rsid w:val="00381D9E"/>
    <w:rsid w:val="003825BA"/>
    <w:rsid w:val="00382744"/>
    <w:rsid w:val="00382CFB"/>
    <w:rsid w:val="00383890"/>
    <w:rsid w:val="00383D70"/>
    <w:rsid w:val="00384013"/>
    <w:rsid w:val="003840F4"/>
    <w:rsid w:val="00384502"/>
    <w:rsid w:val="0038464C"/>
    <w:rsid w:val="00384B9D"/>
    <w:rsid w:val="0038522E"/>
    <w:rsid w:val="003852DA"/>
    <w:rsid w:val="003854BC"/>
    <w:rsid w:val="0038583C"/>
    <w:rsid w:val="00385FF5"/>
    <w:rsid w:val="0038612B"/>
    <w:rsid w:val="003868A7"/>
    <w:rsid w:val="00386B68"/>
    <w:rsid w:val="003877FC"/>
    <w:rsid w:val="0039005C"/>
    <w:rsid w:val="003900A9"/>
    <w:rsid w:val="003901F1"/>
    <w:rsid w:val="00390AE2"/>
    <w:rsid w:val="00391018"/>
    <w:rsid w:val="00391CD4"/>
    <w:rsid w:val="0039203C"/>
    <w:rsid w:val="00392264"/>
    <w:rsid w:val="003922E2"/>
    <w:rsid w:val="0039237E"/>
    <w:rsid w:val="0039239B"/>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A08"/>
    <w:rsid w:val="00395AD6"/>
    <w:rsid w:val="00396351"/>
    <w:rsid w:val="003969DE"/>
    <w:rsid w:val="00396C67"/>
    <w:rsid w:val="0039780F"/>
    <w:rsid w:val="003978CE"/>
    <w:rsid w:val="00397991"/>
    <w:rsid w:val="003A0884"/>
    <w:rsid w:val="003A09E2"/>
    <w:rsid w:val="003A1255"/>
    <w:rsid w:val="003A1AC1"/>
    <w:rsid w:val="003A1F5A"/>
    <w:rsid w:val="003A216B"/>
    <w:rsid w:val="003A2809"/>
    <w:rsid w:val="003A28D5"/>
    <w:rsid w:val="003A2BBB"/>
    <w:rsid w:val="003A318E"/>
    <w:rsid w:val="003A33BF"/>
    <w:rsid w:val="003A3EFC"/>
    <w:rsid w:val="003A3FFE"/>
    <w:rsid w:val="003A407F"/>
    <w:rsid w:val="003A4111"/>
    <w:rsid w:val="003A4152"/>
    <w:rsid w:val="003A4542"/>
    <w:rsid w:val="003A461D"/>
    <w:rsid w:val="003A46E5"/>
    <w:rsid w:val="003A5168"/>
    <w:rsid w:val="003A5284"/>
    <w:rsid w:val="003A54AB"/>
    <w:rsid w:val="003A5FA4"/>
    <w:rsid w:val="003A633E"/>
    <w:rsid w:val="003A6535"/>
    <w:rsid w:val="003A68FE"/>
    <w:rsid w:val="003A72F4"/>
    <w:rsid w:val="003A7301"/>
    <w:rsid w:val="003A7332"/>
    <w:rsid w:val="003A7F87"/>
    <w:rsid w:val="003B0569"/>
    <w:rsid w:val="003B0CF3"/>
    <w:rsid w:val="003B111A"/>
    <w:rsid w:val="003B127C"/>
    <w:rsid w:val="003B162B"/>
    <w:rsid w:val="003B1813"/>
    <w:rsid w:val="003B1CD7"/>
    <w:rsid w:val="003B24B4"/>
    <w:rsid w:val="003B25A7"/>
    <w:rsid w:val="003B29D6"/>
    <w:rsid w:val="003B2B25"/>
    <w:rsid w:val="003B2DA4"/>
    <w:rsid w:val="003B2FD5"/>
    <w:rsid w:val="003B3A8A"/>
    <w:rsid w:val="003B4C5E"/>
    <w:rsid w:val="003B542B"/>
    <w:rsid w:val="003B5FC3"/>
    <w:rsid w:val="003B62F3"/>
    <w:rsid w:val="003B6329"/>
    <w:rsid w:val="003B63FF"/>
    <w:rsid w:val="003B65BD"/>
    <w:rsid w:val="003B66E6"/>
    <w:rsid w:val="003B6FE1"/>
    <w:rsid w:val="003B7B5D"/>
    <w:rsid w:val="003B7EC9"/>
    <w:rsid w:val="003B7F5E"/>
    <w:rsid w:val="003C07B8"/>
    <w:rsid w:val="003C0D52"/>
    <w:rsid w:val="003C1477"/>
    <w:rsid w:val="003C1695"/>
    <w:rsid w:val="003C1C10"/>
    <w:rsid w:val="003C216C"/>
    <w:rsid w:val="003C243F"/>
    <w:rsid w:val="003C245B"/>
    <w:rsid w:val="003C2562"/>
    <w:rsid w:val="003C28B7"/>
    <w:rsid w:val="003C2C5E"/>
    <w:rsid w:val="003C2DC1"/>
    <w:rsid w:val="003C3166"/>
    <w:rsid w:val="003C376B"/>
    <w:rsid w:val="003C3DAE"/>
    <w:rsid w:val="003C4DF7"/>
    <w:rsid w:val="003C4F8E"/>
    <w:rsid w:val="003C5421"/>
    <w:rsid w:val="003C5F33"/>
    <w:rsid w:val="003C6233"/>
    <w:rsid w:val="003C6ABE"/>
    <w:rsid w:val="003C6DBA"/>
    <w:rsid w:val="003C7C79"/>
    <w:rsid w:val="003C7F46"/>
    <w:rsid w:val="003D00A0"/>
    <w:rsid w:val="003D0233"/>
    <w:rsid w:val="003D0803"/>
    <w:rsid w:val="003D0C7F"/>
    <w:rsid w:val="003D0D6C"/>
    <w:rsid w:val="003D1DB6"/>
    <w:rsid w:val="003D1F33"/>
    <w:rsid w:val="003D1F93"/>
    <w:rsid w:val="003D1FCF"/>
    <w:rsid w:val="003D1FDF"/>
    <w:rsid w:val="003D20F2"/>
    <w:rsid w:val="003D21C4"/>
    <w:rsid w:val="003D2359"/>
    <w:rsid w:val="003D2A66"/>
    <w:rsid w:val="003D3487"/>
    <w:rsid w:val="003D3659"/>
    <w:rsid w:val="003D38B8"/>
    <w:rsid w:val="003D3C83"/>
    <w:rsid w:val="003D3EC5"/>
    <w:rsid w:val="003D4262"/>
    <w:rsid w:val="003D4940"/>
    <w:rsid w:val="003D56E8"/>
    <w:rsid w:val="003D5ADF"/>
    <w:rsid w:val="003D5BB7"/>
    <w:rsid w:val="003D5DA3"/>
    <w:rsid w:val="003D6751"/>
    <w:rsid w:val="003D6CA7"/>
    <w:rsid w:val="003D739D"/>
    <w:rsid w:val="003D7EDF"/>
    <w:rsid w:val="003E02EE"/>
    <w:rsid w:val="003E03D8"/>
    <w:rsid w:val="003E042C"/>
    <w:rsid w:val="003E05F6"/>
    <w:rsid w:val="003E0682"/>
    <w:rsid w:val="003E069E"/>
    <w:rsid w:val="003E07BB"/>
    <w:rsid w:val="003E07D0"/>
    <w:rsid w:val="003E12CE"/>
    <w:rsid w:val="003E212F"/>
    <w:rsid w:val="003E21C9"/>
    <w:rsid w:val="003E2200"/>
    <w:rsid w:val="003E32B5"/>
    <w:rsid w:val="003E3793"/>
    <w:rsid w:val="003E410E"/>
    <w:rsid w:val="003E4399"/>
    <w:rsid w:val="003E462B"/>
    <w:rsid w:val="003E4BED"/>
    <w:rsid w:val="003E4BF7"/>
    <w:rsid w:val="003E4FFB"/>
    <w:rsid w:val="003E542E"/>
    <w:rsid w:val="003E5A44"/>
    <w:rsid w:val="003E6068"/>
    <w:rsid w:val="003E6319"/>
    <w:rsid w:val="003E65B9"/>
    <w:rsid w:val="003E66B6"/>
    <w:rsid w:val="003E6A91"/>
    <w:rsid w:val="003E7210"/>
    <w:rsid w:val="003E74C8"/>
    <w:rsid w:val="003F04F5"/>
    <w:rsid w:val="003F05AB"/>
    <w:rsid w:val="003F0FDE"/>
    <w:rsid w:val="003F1503"/>
    <w:rsid w:val="003F198B"/>
    <w:rsid w:val="003F1B6E"/>
    <w:rsid w:val="003F1B8C"/>
    <w:rsid w:val="003F1D00"/>
    <w:rsid w:val="003F251D"/>
    <w:rsid w:val="003F2597"/>
    <w:rsid w:val="003F25D4"/>
    <w:rsid w:val="003F2B6C"/>
    <w:rsid w:val="003F302A"/>
    <w:rsid w:val="003F363F"/>
    <w:rsid w:val="003F371F"/>
    <w:rsid w:val="003F3722"/>
    <w:rsid w:val="003F3B9D"/>
    <w:rsid w:val="003F3BEE"/>
    <w:rsid w:val="003F3D68"/>
    <w:rsid w:val="003F4344"/>
    <w:rsid w:val="003F46A6"/>
    <w:rsid w:val="003F53F8"/>
    <w:rsid w:val="003F555F"/>
    <w:rsid w:val="003F56DE"/>
    <w:rsid w:val="003F5B92"/>
    <w:rsid w:val="003F6179"/>
    <w:rsid w:val="003F61EF"/>
    <w:rsid w:val="003F6296"/>
    <w:rsid w:val="003F6410"/>
    <w:rsid w:val="003F64C6"/>
    <w:rsid w:val="003F68DD"/>
    <w:rsid w:val="003F6BCC"/>
    <w:rsid w:val="003F6D48"/>
    <w:rsid w:val="003F6DA1"/>
    <w:rsid w:val="003F704B"/>
    <w:rsid w:val="003F74F4"/>
    <w:rsid w:val="003F7CD9"/>
    <w:rsid w:val="004003A0"/>
    <w:rsid w:val="0040135D"/>
    <w:rsid w:val="00401562"/>
    <w:rsid w:val="004015D4"/>
    <w:rsid w:val="00401BB0"/>
    <w:rsid w:val="004022C2"/>
    <w:rsid w:val="004024EB"/>
    <w:rsid w:val="00402FDF"/>
    <w:rsid w:val="00403884"/>
    <w:rsid w:val="004039D1"/>
    <w:rsid w:val="00403AD2"/>
    <w:rsid w:val="004040FC"/>
    <w:rsid w:val="0040446C"/>
    <w:rsid w:val="00404575"/>
    <w:rsid w:val="00404651"/>
    <w:rsid w:val="004048A8"/>
    <w:rsid w:val="004049AA"/>
    <w:rsid w:val="00404D0E"/>
    <w:rsid w:val="004051CE"/>
    <w:rsid w:val="00405271"/>
    <w:rsid w:val="004052EE"/>
    <w:rsid w:val="00405657"/>
    <w:rsid w:val="004056EB"/>
    <w:rsid w:val="00405922"/>
    <w:rsid w:val="00405AA6"/>
    <w:rsid w:val="0040653B"/>
    <w:rsid w:val="0040662C"/>
    <w:rsid w:val="004066B0"/>
    <w:rsid w:val="004066F7"/>
    <w:rsid w:val="00406A86"/>
    <w:rsid w:val="00406C2D"/>
    <w:rsid w:val="00406ED3"/>
    <w:rsid w:val="004071C5"/>
    <w:rsid w:val="00407780"/>
    <w:rsid w:val="00410598"/>
    <w:rsid w:val="00410A99"/>
    <w:rsid w:val="004111DB"/>
    <w:rsid w:val="004117E6"/>
    <w:rsid w:val="00411ACA"/>
    <w:rsid w:val="00411CF9"/>
    <w:rsid w:val="00411E17"/>
    <w:rsid w:val="00412003"/>
    <w:rsid w:val="004122CA"/>
    <w:rsid w:val="00412669"/>
    <w:rsid w:val="0041306D"/>
    <w:rsid w:val="00413141"/>
    <w:rsid w:val="0041317A"/>
    <w:rsid w:val="0041328E"/>
    <w:rsid w:val="004136AC"/>
    <w:rsid w:val="00413949"/>
    <w:rsid w:val="00413C34"/>
    <w:rsid w:val="00413D74"/>
    <w:rsid w:val="00413EE5"/>
    <w:rsid w:val="004142D3"/>
    <w:rsid w:val="0041441E"/>
    <w:rsid w:val="0041490E"/>
    <w:rsid w:val="00414F6D"/>
    <w:rsid w:val="004153C1"/>
    <w:rsid w:val="00415646"/>
    <w:rsid w:val="00415C0C"/>
    <w:rsid w:val="00415DFC"/>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FC"/>
    <w:rsid w:val="00420C5D"/>
    <w:rsid w:val="00421F16"/>
    <w:rsid w:val="00422509"/>
    <w:rsid w:val="004226CE"/>
    <w:rsid w:val="004229EA"/>
    <w:rsid w:val="00423785"/>
    <w:rsid w:val="00423C66"/>
    <w:rsid w:val="00423F17"/>
    <w:rsid w:val="00424198"/>
    <w:rsid w:val="00424360"/>
    <w:rsid w:val="0042464C"/>
    <w:rsid w:val="0042483E"/>
    <w:rsid w:val="0042492C"/>
    <w:rsid w:val="00424CCD"/>
    <w:rsid w:val="004259EB"/>
    <w:rsid w:val="0042662D"/>
    <w:rsid w:val="00426AF2"/>
    <w:rsid w:val="00426C68"/>
    <w:rsid w:val="00426C87"/>
    <w:rsid w:val="00426DB7"/>
    <w:rsid w:val="00426EBA"/>
    <w:rsid w:val="00426FA1"/>
    <w:rsid w:val="0042706B"/>
    <w:rsid w:val="00427C2D"/>
    <w:rsid w:val="00430271"/>
    <w:rsid w:val="00430485"/>
    <w:rsid w:val="004307E0"/>
    <w:rsid w:val="00431387"/>
    <w:rsid w:val="00431478"/>
    <w:rsid w:val="00431A2E"/>
    <w:rsid w:val="00432092"/>
    <w:rsid w:val="004324BA"/>
    <w:rsid w:val="004328EE"/>
    <w:rsid w:val="00432B8E"/>
    <w:rsid w:val="00432BC3"/>
    <w:rsid w:val="00432EA1"/>
    <w:rsid w:val="0043322B"/>
    <w:rsid w:val="00433234"/>
    <w:rsid w:val="00433CB0"/>
    <w:rsid w:val="004340D4"/>
    <w:rsid w:val="004357A9"/>
    <w:rsid w:val="00435BDA"/>
    <w:rsid w:val="00435E3E"/>
    <w:rsid w:val="00435E76"/>
    <w:rsid w:val="004361F6"/>
    <w:rsid w:val="0043624C"/>
    <w:rsid w:val="00436526"/>
    <w:rsid w:val="0043689B"/>
    <w:rsid w:val="00436A1D"/>
    <w:rsid w:val="00436DF1"/>
    <w:rsid w:val="00437243"/>
    <w:rsid w:val="00437244"/>
    <w:rsid w:val="00437E91"/>
    <w:rsid w:val="004400B0"/>
    <w:rsid w:val="0044012C"/>
    <w:rsid w:val="004403EF"/>
    <w:rsid w:val="004408DF"/>
    <w:rsid w:val="00440F8A"/>
    <w:rsid w:val="00441121"/>
    <w:rsid w:val="004412E6"/>
    <w:rsid w:val="0044186A"/>
    <w:rsid w:val="00441E63"/>
    <w:rsid w:val="0044254E"/>
    <w:rsid w:val="004426FD"/>
    <w:rsid w:val="004427E2"/>
    <w:rsid w:val="004434F2"/>
    <w:rsid w:val="00443959"/>
    <w:rsid w:val="00443FF5"/>
    <w:rsid w:val="00444225"/>
    <w:rsid w:val="00444422"/>
    <w:rsid w:val="00444AD1"/>
    <w:rsid w:val="00444D0A"/>
    <w:rsid w:val="00444EB8"/>
    <w:rsid w:val="004455B5"/>
    <w:rsid w:val="00445D09"/>
    <w:rsid w:val="00445D1B"/>
    <w:rsid w:val="00445E4E"/>
    <w:rsid w:val="00445F0F"/>
    <w:rsid w:val="004462FE"/>
    <w:rsid w:val="00446385"/>
    <w:rsid w:val="00446602"/>
    <w:rsid w:val="00446F93"/>
    <w:rsid w:val="00447069"/>
    <w:rsid w:val="004470AA"/>
    <w:rsid w:val="00447329"/>
    <w:rsid w:val="00447B80"/>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360"/>
    <w:rsid w:val="0045281C"/>
    <w:rsid w:val="004529FC"/>
    <w:rsid w:val="00452BB2"/>
    <w:rsid w:val="004537CD"/>
    <w:rsid w:val="004539A7"/>
    <w:rsid w:val="00453A9A"/>
    <w:rsid w:val="00453ED0"/>
    <w:rsid w:val="0045411B"/>
    <w:rsid w:val="0045411D"/>
    <w:rsid w:val="00454B31"/>
    <w:rsid w:val="00454E95"/>
    <w:rsid w:val="0045523A"/>
    <w:rsid w:val="004552D2"/>
    <w:rsid w:val="0045536A"/>
    <w:rsid w:val="00455538"/>
    <w:rsid w:val="00455BAF"/>
    <w:rsid w:val="004561FC"/>
    <w:rsid w:val="004563A1"/>
    <w:rsid w:val="004568AB"/>
    <w:rsid w:val="004568CF"/>
    <w:rsid w:val="00456BEA"/>
    <w:rsid w:val="00457051"/>
    <w:rsid w:val="00457271"/>
    <w:rsid w:val="0045742A"/>
    <w:rsid w:val="00457684"/>
    <w:rsid w:val="0045772F"/>
    <w:rsid w:val="00457C47"/>
    <w:rsid w:val="0046038C"/>
    <w:rsid w:val="00460A43"/>
    <w:rsid w:val="00460BF9"/>
    <w:rsid w:val="004610FF"/>
    <w:rsid w:val="004613E3"/>
    <w:rsid w:val="00461884"/>
    <w:rsid w:val="00461980"/>
    <w:rsid w:val="004624FB"/>
    <w:rsid w:val="00462C61"/>
    <w:rsid w:val="00463257"/>
    <w:rsid w:val="00463382"/>
    <w:rsid w:val="00463612"/>
    <w:rsid w:val="00463732"/>
    <w:rsid w:val="00463CF5"/>
    <w:rsid w:val="00464C1D"/>
    <w:rsid w:val="00464E73"/>
    <w:rsid w:val="004652DB"/>
    <w:rsid w:val="00465437"/>
    <w:rsid w:val="004658ED"/>
    <w:rsid w:val="00465D3C"/>
    <w:rsid w:val="0046646D"/>
    <w:rsid w:val="00466ABA"/>
    <w:rsid w:val="004671A5"/>
    <w:rsid w:val="004674CE"/>
    <w:rsid w:val="0046761E"/>
    <w:rsid w:val="00467AAB"/>
    <w:rsid w:val="0047050B"/>
    <w:rsid w:val="004707C7"/>
    <w:rsid w:val="00470992"/>
    <w:rsid w:val="004713C3"/>
    <w:rsid w:val="004714C0"/>
    <w:rsid w:val="00471625"/>
    <w:rsid w:val="00471678"/>
    <w:rsid w:val="004716F3"/>
    <w:rsid w:val="004719AB"/>
    <w:rsid w:val="00472056"/>
    <w:rsid w:val="00472786"/>
    <w:rsid w:val="00473A25"/>
    <w:rsid w:val="00473B40"/>
    <w:rsid w:val="00474687"/>
    <w:rsid w:val="00474712"/>
    <w:rsid w:val="004747B9"/>
    <w:rsid w:val="0047489C"/>
    <w:rsid w:val="00474CED"/>
    <w:rsid w:val="00474E55"/>
    <w:rsid w:val="004757FE"/>
    <w:rsid w:val="00475B05"/>
    <w:rsid w:val="00476A1A"/>
    <w:rsid w:val="00476FC9"/>
    <w:rsid w:val="00477250"/>
    <w:rsid w:val="00477782"/>
    <w:rsid w:val="00477A57"/>
    <w:rsid w:val="00480152"/>
    <w:rsid w:val="00480155"/>
    <w:rsid w:val="004805E1"/>
    <w:rsid w:val="00480D46"/>
    <w:rsid w:val="00480EAE"/>
    <w:rsid w:val="004812C3"/>
    <w:rsid w:val="00481570"/>
    <w:rsid w:val="00481B8C"/>
    <w:rsid w:val="00481EDF"/>
    <w:rsid w:val="0048220E"/>
    <w:rsid w:val="004822FD"/>
    <w:rsid w:val="004823FA"/>
    <w:rsid w:val="00482440"/>
    <w:rsid w:val="004825DC"/>
    <w:rsid w:val="004825F5"/>
    <w:rsid w:val="00482CB5"/>
    <w:rsid w:val="004830DD"/>
    <w:rsid w:val="0048331D"/>
    <w:rsid w:val="00483413"/>
    <w:rsid w:val="004836AB"/>
    <w:rsid w:val="004837BB"/>
    <w:rsid w:val="0048435A"/>
    <w:rsid w:val="00484CBA"/>
    <w:rsid w:val="00485594"/>
    <w:rsid w:val="004857CD"/>
    <w:rsid w:val="00485843"/>
    <w:rsid w:val="00485BAE"/>
    <w:rsid w:val="00485E17"/>
    <w:rsid w:val="00485EE2"/>
    <w:rsid w:val="00486800"/>
    <w:rsid w:val="00486D94"/>
    <w:rsid w:val="00486F0C"/>
    <w:rsid w:val="00486F51"/>
    <w:rsid w:val="00486F68"/>
    <w:rsid w:val="00487282"/>
    <w:rsid w:val="0048736C"/>
    <w:rsid w:val="00487CBA"/>
    <w:rsid w:val="0049032D"/>
    <w:rsid w:val="00490774"/>
    <w:rsid w:val="00490BB3"/>
    <w:rsid w:val="00490E05"/>
    <w:rsid w:val="004911E5"/>
    <w:rsid w:val="004912BD"/>
    <w:rsid w:val="0049164D"/>
    <w:rsid w:val="00491D1A"/>
    <w:rsid w:val="00491EB5"/>
    <w:rsid w:val="00492331"/>
    <w:rsid w:val="0049318C"/>
    <w:rsid w:val="004932FA"/>
    <w:rsid w:val="0049352B"/>
    <w:rsid w:val="004937B6"/>
    <w:rsid w:val="00493AAD"/>
    <w:rsid w:val="00494125"/>
    <w:rsid w:val="004944F1"/>
    <w:rsid w:val="004948C8"/>
    <w:rsid w:val="004948CA"/>
    <w:rsid w:val="00494922"/>
    <w:rsid w:val="00494954"/>
    <w:rsid w:val="00494A3E"/>
    <w:rsid w:val="00494BBE"/>
    <w:rsid w:val="00494D6A"/>
    <w:rsid w:val="00495232"/>
    <w:rsid w:val="00495397"/>
    <w:rsid w:val="004957E6"/>
    <w:rsid w:val="00496093"/>
    <w:rsid w:val="00496374"/>
    <w:rsid w:val="00496C45"/>
    <w:rsid w:val="00497330"/>
    <w:rsid w:val="00497389"/>
    <w:rsid w:val="00497409"/>
    <w:rsid w:val="00497607"/>
    <w:rsid w:val="004979E5"/>
    <w:rsid w:val="00497D93"/>
    <w:rsid w:val="004A0097"/>
    <w:rsid w:val="004A0098"/>
    <w:rsid w:val="004A07B6"/>
    <w:rsid w:val="004A0D10"/>
    <w:rsid w:val="004A0F54"/>
    <w:rsid w:val="004A0FF0"/>
    <w:rsid w:val="004A0FF5"/>
    <w:rsid w:val="004A1598"/>
    <w:rsid w:val="004A15EA"/>
    <w:rsid w:val="004A17C7"/>
    <w:rsid w:val="004A1BEE"/>
    <w:rsid w:val="004A1E9A"/>
    <w:rsid w:val="004A215D"/>
    <w:rsid w:val="004A2688"/>
    <w:rsid w:val="004A2A52"/>
    <w:rsid w:val="004A2AF8"/>
    <w:rsid w:val="004A2CA2"/>
    <w:rsid w:val="004A3ACA"/>
    <w:rsid w:val="004A4A1A"/>
    <w:rsid w:val="004A4A43"/>
    <w:rsid w:val="004A53C9"/>
    <w:rsid w:val="004A567F"/>
    <w:rsid w:val="004A5D02"/>
    <w:rsid w:val="004A5E01"/>
    <w:rsid w:val="004A60B5"/>
    <w:rsid w:val="004A63C3"/>
    <w:rsid w:val="004A64C6"/>
    <w:rsid w:val="004A6857"/>
    <w:rsid w:val="004A6A03"/>
    <w:rsid w:val="004A6B73"/>
    <w:rsid w:val="004A6FB8"/>
    <w:rsid w:val="004A767B"/>
    <w:rsid w:val="004B0B86"/>
    <w:rsid w:val="004B16C8"/>
    <w:rsid w:val="004B2102"/>
    <w:rsid w:val="004B2F32"/>
    <w:rsid w:val="004B33A0"/>
    <w:rsid w:val="004B3744"/>
    <w:rsid w:val="004B3C2D"/>
    <w:rsid w:val="004B3D0B"/>
    <w:rsid w:val="004B4077"/>
    <w:rsid w:val="004B435B"/>
    <w:rsid w:val="004B4567"/>
    <w:rsid w:val="004B4A13"/>
    <w:rsid w:val="004B4B3F"/>
    <w:rsid w:val="004B4BD4"/>
    <w:rsid w:val="004B4DF0"/>
    <w:rsid w:val="004B5208"/>
    <w:rsid w:val="004B5426"/>
    <w:rsid w:val="004B5713"/>
    <w:rsid w:val="004B5A97"/>
    <w:rsid w:val="004B5DE4"/>
    <w:rsid w:val="004B5F83"/>
    <w:rsid w:val="004B60D1"/>
    <w:rsid w:val="004B62ED"/>
    <w:rsid w:val="004B62F1"/>
    <w:rsid w:val="004B6A5D"/>
    <w:rsid w:val="004B6CB7"/>
    <w:rsid w:val="004B74CB"/>
    <w:rsid w:val="004B7D4A"/>
    <w:rsid w:val="004C0121"/>
    <w:rsid w:val="004C03A4"/>
    <w:rsid w:val="004C0650"/>
    <w:rsid w:val="004C0857"/>
    <w:rsid w:val="004C0924"/>
    <w:rsid w:val="004C0BB2"/>
    <w:rsid w:val="004C0E54"/>
    <w:rsid w:val="004C150B"/>
    <w:rsid w:val="004C151B"/>
    <w:rsid w:val="004C160A"/>
    <w:rsid w:val="004C18E1"/>
    <w:rsid w:val="004C1A81"/>
    <w:rsid w:val="004C1E13"/>
    <w:rsid w:val="004C1E5C"/>
    <w:rsid w:val="004C20FB"/>
    <w:rsid w:val="004C2388"/>
    <w:rsid w:val="004C2854"/>
    <w:rsid w:val="004C2996"/>
    <w:rsid w:val="004C300E"/>
    <w:rsid w:val="004C3FC1"/>
    <w:rsid w:val="004C4376"/>
    <w:rsid w:val="004C43F9"/>
    <w:rsid w:val="004C4D5E"/>
    <w:rsid w:val="004C526A"/>
    <w:rsid w:val="004C54EE"/>
    <w:rsid w:val="004C569B"/>
    <w:rsid w:val="004C58A6"/>
    <w:rsid w:val="004C58FA"/>
    <w:rsid w:val="004C5DF6"/>
    <w:rsid w:val="004C65DB"/>
    <w:rsid w:val="004C682C"/>
    <w:rsid w:val="004C6E25"/>
    <w:rsid w:val="004C6FA0"/>
    <w:rsid w:val="004C7114"/>
    <w:rsid w:val="004C7E5D"/>
    <w:rsid w:val="004D088B"/>
    <w:rsid w:val="004D1E62"/>
    <w:rsid w:val="004D2448"/>
    <w:rsid w:val="004D2527"/>
    <w:rsid w:val="004D3D79"/>
    <w:rsid w:val="004D477E"/>
    <w:rsid w:val="004D53F4"/>
    <w:rsid w:val="004D5523"/>
    <w:rsid w:val="004D5676"/>
    <w:rsid w:val="004D59AB"/>
    <w:rsid w:val="004D5D63"/>
    <w:rsid w:val="004D5F8E"/>
    <w:rsid w:val="004D61B3"/>
    <w:rsid w:val="004D629B"/>
    <w:rsid w:val="004D647D"/>
    <w:rsid w:val="004D658B"/>
    <w:rsid w:val="004D69A7"/>
    <w:rsid w:val="004D71F4"/>
    <w:rsid w:val="004D7243"/>
    <w:rsid w:val="004D788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8C9"/>
    <w:rsid w:val="004E2A70"/>
    <w:rsid w:val="004E32A1"/>
    <w:rsid w:val="004E34F7"/>
    <w:rsid w:val="004E3BAE"/>
    <w:rsid w:val="004E4003"/>
    <w:rsid w:val="004E4201"/>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85F"/>
    <w:rsid w:val="004F0256"/>
    <w:rsid w:val="004F03DF"/>
    <w:rsid w:val="004F0A69"/>
    <w:rsid w:val="004F0B5D"/>
    <w:rsid w:val="004F11D5"/>
    <w:rsid w:val="004F1A17"/>
    <w:rsid w:val="004F1B62"/>
    <w:rsid w:val="004F23CF"/>
    <w:rsid w:val="004F3A35"/>
    <w:rsid w:val="004F3EED"/>
    <w:rsid w:val="004F45EC"/>
    <w:rsid w:val="004F47ED"/>
    <w:rsid w:val="004F4BC9"/>
    <w:rsid w:val="004F4C62"/>
    <w:rsid w:val="004F4D03"/>
    <w:rsid w:val="004F4FFF"/>
    <w:rsid w:val="004F5CA3"/>
    <w:rsid w:val="004F6587"/>
    <w:rsid w:val="004F68A5"/>
    <w:rsid w:val="004F6962"/>
    <w:rsid w:val="004F6E23"/>
    <w:rsid w:val="004F77B2"/>
    <w:rsid w:val="004F78E1"/>
    <w:rsid w:val="005000E4"/>
    <w:rsid w:val="00500786"/>
    <w:rsid w:val="00500BF8"/>
    <w:rsid w:val="00500C6D"/>
    <w:rsid w:val="005011B0"/>
    <w:rsid w:val="005014A8"/>
    <w:rsid w:val="00501517"/>
    <w:rsid w:val="0050209B"/>
    <w:rsid w:val="00502B5F"/>
    <w:rsid w:val="00502D72"/>
    <w:rsid w:val="00503134"/>
    <w:rsid w:val="00503690"/>
    <w:rsid w:val="00503C68"/>
    <w:rsid w:val="00503D6C"/>
    <w:rsid w:val="00503DAE"/>
    <w:rsid w:val="00503E07"/>
    <w:rsid w:val="00504699"/>
    <w:rsid w:val="00504C1D"/>
    <w:rsid w:val="00504FB8"/>
    <w:rsid w:val="005055D8"/>
    <w:rsid w:val="005055E3"/>
    <w:rsid w:val="00505BFA"/>
    <w:rsid w:val="00506139"/>
    <w:rsid w:val="005066D3"/>
    <w:rsid w:val="005066F7"/>
    <w:rsid w:val="005067D7"/>
    <w:rsid w:val="00506AE1"/>
    <w:rsid w:val="00507098"/>
    <w:rsid w:val="00507843"/>
    <w:rsid w:val="00507B52"/>
    <w:rsid w:val="00507BC9"/>
    <w:rsid w:val="00507E81"/>
    <w:rsid w:val="0051026A"/>
    <w:rsid w:val="005103D2"/>
    <w:rsid w:val="0051053C"/>
    <w:rsid w:val="005106D8"/>
    <w:rsid w:val="0051085F"/>
    <w:rsid w:val="005108EF"/>
    <w:rsid w:val="00510B72"/>
    <w:rsid w:val="00511463"/>
    <w:rsid w:val="00511549"/>
    <w:rsid w:val="00511E72"/>
    <w:rsid w:val="005127B2"/>
    <w:rsid w:val="00512936"/>
    <w:rsid w:val="00512D1F"/>
    <w:rsid w:val="00512F58"/>
    <w:rsid w:val="00513716"/>
    <w:rsid w:val="00513739"/>
    <w:rsid w:val="005137F9"/>
    <w:rsid w:val="00513CE6"/>
    <w:rsid w:val="00513F17"/>
    <w:rsid w:val="005145F2"/>
    <w:rsid w:val="00515C7A"/>
    <w:rsid w:val="0051618E"/>
    <w:rsid w:val="005164C9"/>
    <w:rsid w:val="00516E0E"/>
    <w:rsid w:val="00516F48"/>
    <w:rsid w:val="0051721F"/>
    <w:rsid w:val="00517D58"/>
    <w:rsid w:val="00517FA9"/>
    <w:rsid w:val="00520147"/>
    <w:rsid w:val="005203DE"/>
    <w:rsid w:val="005208C2"/>
    <w:rsid w:val="0052090E"/>
    <w:rsid w:val="00520FB0"/>
    <w:rsid w:val="00521239"/>
    <w:rsid w:val="00521250"/>
    <w:rsid w:val="0052180F"/>
    <w:rsid w:val="005218A2"/>
    <w:rsid w:val="00521E94"/>
    <w:rsid w:val="00521FE3"/>
    <w:rsid w:val="00522021"/>
    <w:rsid w:val="005221CD"/>
    <w:rsid w:val="00522385"/>
    <w:rsid w:val="005229E0"/>
    <w:rsid w:val="00523A04"/>
    <w:rsid w:val="00523DFC"/>
    <w:rsid w:val="005242ED"/>
    <w:rsid w:val="005249BA"/>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53B"/>
    <w:rsid w:val="00527E23"/>
    <w:rsid w:val="005307A0"/>
    <w:rsid w:val="00530AC1"/>
    <w:rsid w:val="00530AFD"/>
    <w:rsid w:val="00530E51"/>
    <w:rsid w:val="00530F1A"/>
    <w:rsid w:val="005310BF"/>
    <w:rsid w:val="0053115C"/>
    <w:rsid w:val="00531975"/>
    <w:rsid w:val="005319BD"/>
    <w:rsid w:val="00531B53"/>
    <w:rsid w:val="00532842"/>
    <w:rsid w:val="00532EA6"/>
    <w:rsid w:val="00533021"/>
    <w:rsid w:val="005330CA"/>
    <w:rsid w:val="00533D17"/>
    <w:rsid w:val="00533E72"/>
    <w:rsid w:val="005341A8"/>
    <w:rsid w:val="0053420F"/>
    <w:rsid w:val="00534455"/>
    <w:rsid w:val="0053487F"/>
    <w:rsid w:val="00534BD7"/>
    <w:rsid w:val="00535246"/>
    <w:rsid w:val="0053534C"/>
    <w:rsid w:val="00535385"/>
    <w:rsid w:val="005364D8"/>
    <w:rsid w:val="00536702"/>
    <w:rsid w:val="00537095"/>
    <w:rsid w:val="00537200"/>
    <w:rsid w:val="00537403"/>
    <w:rsid w:val="005374D6"/>
    <w:rsid w:val="005378F2"/>
    <w:rsid w:val="005400D0"/>
    <w:rsid w:val="0054034A"/>
    <w:rsid w:val="00540355"/>
    <w:rsid w:val="0054064C"/>
    <w:rsid w:val="005406F7"/>
    <w:rsid w:val="005409B6"/>
    <w:rsid w:val="005412AC"/>
    <w:rsid w:val="00541722"/>
    <w:rsid w:val="00541D35"/>
    <w:rsid w:val="00541D56"/>
    <w:rsid w:val="00541E56"/>
    <w:rsid w:val="00542377"/>
    <w:rsid w:val="00542412"/>
    <w:rsid w:val="005434BE"/>
    <w:rsid w:val="00543B2E"/>
    <w:rsid w:val="00543C1B"/>
    <w:rsid w:val="00543EC3"/>
    <w:rsid w:val="005442DD"/>
    <w:rsid w:val="005447FC"/>
    <w:rsid w:val="00544875"/>
    <w:rsid w:val="00544C30"/>
    <w:rsid w:val="00544D80"/>
    <w:rsid w:val="00544D9A"/>
    <w:rsid w:val="00545234"/>
    <w:rsid w:val="00545673"/>
    <w:rsid w:val="00545AFE"/>
    <w:rsid w:val="00545DE1"/>
    <w:rsid w:val="00546508"/>
    <w:rsid w:val="00546584"/>
    <w:rsid w:val="0054664C"/>
    <w:rsid w:val="005474AD"/>
    <w:rsid w:val="005478D2"/>
    <w:rsid w:val="00547D9E"/>
    <w:rsid w:val="0055013E"/>
    <w:rsid w:val="005505E9"/>
    <w:rsid w:val="0055163A"/>
    <w:rsid w:val="0055167A"/>
    <w:rsid w:val="00551D52"/>
    <w:rsid w:val="0055247E"/>
    <w:rsid w:val="005534E1"/>
    <w:rsid w:val="00553726"/>
    <w:rsid w:val="00553DEB"/>
    <w:rsid w:val="00553F02"/>
    <w:rsid w:val="0055497C"/>
    <w:rsid w:val="00554B15"/>
    <w:rsid w:val="00554C73"/>
    <w:rsid w:val="00554E6E"/>
    <w:rsid w:val="00554EA9"/>
    <w:rsid w:val="005551B1"/>
    <w:rsid w:val="00555442"/>
    <w:rsid w:val="0055579E"/>
    <w:rsid w:val="005558AF"/>
    <w:rsid w:val="00555D7C"/>
    <w:rsid w:val="0055615C"/>
    <w:rsid w:val="005563E9"/>
    <w:rsid w:val="005563F4"/>
    <w:rsid w:val="00556497"/>
    <w:rsid w:val="00556648"/>
    <w:rsid w:val="00557405"/>
    <w:rsid w:val="005576C2"/>
    <w:rsid w:val="00560677"/>
    <w:rsid w:val="005608A4"/>
    <w:rsid w:val="005615F5"/>
    <w:rsid w:val="0056164F"/>
    <w:rsid w:val="00561966"/>
    <w:rsid w:val="00561AF2"/>
    <w:rsid w:val="00561BEB"/>
    <w:rsid w:val="00561DE9"/>
    <w:rsid w:val="00563111"/>
    <w:rsid w:val="00563481"/>
    <w:rsid w:val="00563EEE"/>
    <w:rsid w:val="00563F0F"/>
    <w:rsid w:val="00564046"/>
    <w:rsid w:val="00564539"/>
    <w:rsid w:val="005645B4"/>
    <w:rsid w:val="005659E0"/>
    <w:rsid w:val="00565A50"/>
    <w:rsid w:val="00566010"/>
    <w:rsid w:val="005660A2"/>
    <w:rsid w:val="00566151"/>
    <w:rsid w:val="00566255"/>
    <w:rsid w:val="0056680C"/>
    <w:rsid w:val="0056692D"/>
    <w:rsid w:val="00566A20"/>
    <w:rsid w:val="00566B4B"/>
    <w:rsid w:val="00566FDE"/>
    <w:rsid w:val="00567447"/>
    <w:rsid w:val="00567AEB"/>
    <w:rsid w:val="00570012"/>
    <w:rsid w:val="005700FB"/>
    <w:rsid w:val="00570EB9"/>
    <w:rsid w:val="00571183"/>
    <w:rsid w:val="005718D6"/>
    <w:rsid w:val="00571EE7"/>
    <w:rsid w:val="0057206B"/>
    <w:rsid w:val="00572354"/>
    <w:rsid w:val="005724AC"/>
    <w:rsid w:val="00572C34"/>
    <w:rsid w:val="00572DF0"/>
    <w:rsid w:val="0057336D"/>
    <w:rsid w:val="0057356E"/>
    <w:rsid w:val="00573921"/>
    <w:rsid w:val="00573992"/>
    <w:rsid w:val="00573F01"/>
    <w:rsid w:val="00574143"/>
    <w:rsid w:val="005746FF"/>
    <w:rsid w:val="0057509C"/>
    <w:rsid w:val="0057560F"/>
    <w:rsid w:val="0057570F"/>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F2"/>
    <w:rsid w:val="005810D6"/>
    <w:rsid w:val="005815FA"/>
    <w:rsid w:val="00582222"/>
    <w:rsid w:val="005824AC"/>
    <w:rsid w:val="005830E6"/>
    <w:rsid w:val="00583187"/>
    <w:rsid w:val="00583A9D"/>
    <w:rsid w:val="00583C9A"/>
    <w:rsid w:val="00583D7D"/>
    <w:rsid w:val="00583D99"/>
    <w:rsid w:val="00583E50"/>
    <w:rsid w:val="0058472C"/>
    <w:rsid w:val="00584C71"/>
    <w:rsid w:val="00585173"/>
    <w:rsid w:val="00585813"/>
    <w:rsid w:val="005858BB"/>
    <w:rsid w:val="0058621F"/>
    <w:rsid w:val="0058668B"/>
    <w:rsid w:val="00586BDE"/>
    <w:rsid w:val="00587974"/>
    <w:rsid w:val="00587F0F"/>
    <w:rsid w:val="005902FA"/>
    <w:rsid w:val="00590B57"/>
    <w:rsid w:val="00591152"/>
    <w:rsid w:val="00591264"/>
    <w:rsid w:val="005913ED"/>
    <w:rsid w:val="005920A1"/>
    <w:rsid w:val="005925C9"/>
    <w:rsid w:val="00593031"/>
    <w:rsid w:val="005931D1"/>
    <w:rsid w:val="0059350F"/>
    <w:rsid w:val="00593800"/>
    <w:rsid w:val="0059387D"/>
    <w:rsid w:val="00593BD7"/>
    <w:rsid w:val="00593C06"/>
    <w:rsid w:val="00593C33"/>
    <w:rsid w:val="00593EEC"/>
    <w:rsid w:val="00594177"/>
    <w:rsid w:val="00594197"/>
    <w:rsid w:val="00594834"/>
    <w:rsid w:val="005952CF"/>
    <w:rsid w:val="00595B59"/>
    <w:rsid w:val="00595D0F"/>
    <w:rsid w:val="0059606E"/>
    <w:rsid w:val="0059609C"/>
    <w:rsid w:val="0059618B"/>
    <w:rsid w:val="00596839"/>
    <w:rsid w:val="005978D0"/>
    <w:rsid w:val="00597DD0"/>
    <w:rsid w:val="005A022B"/>
    <w:rsid w:val="005A094F"/>
    <w:rsid w:val="005A0B2D"/>
    <w:rsid w:val="005A12E6"/>
    <w:rsid w:val="005A14A7"/>
    <w:rsid w:val="005A1AF4"/>
    <w:rsid w:val="005A2118"/>
    <w:rsid w:val="005A2ADE"/>
    <w:rsid w:val="005A304C"/>
    <w:rsid w:val="005A31AD"/>
    <w:rsid w:val="005A32F8"/>
    <w:rsid w:val="005A3501"/>
    <w:rsid w:val="005A36F3"/>
    <w:rsid w:val="005A3A15"/>
    <w:rsid w:val="005A3DDE"/>
    <w:rsid w:val="005A493B"/>
    <w:rsid w:val="005A49DA"/>
    <w:rsid w:val="005A4B73"/>
    <w:rsid w:val="005A4F7C"/>
    <w:rsid w:val="005A53AC"/>
    <w:rsid w:val="005A6131"/>
    <w:rsid w:val="005A6356"/>
    <w:rsid w:val="005A6683"/>
    <w:rsid w:val="005A6769"/>
    <w:rsid w:val="005A67A8"/>
    <w:rsid w:val="005A6B1F"/>
    <w:rsid w:val="005A6FFA"/>
    <w:rsid w:val="005A70D5"/>
    <w:rsid w:val="005A73D0"/>
    <w:rsid w:val="005A7415"/>
    <w:rsid w:val="005A77A8"/>
    <w:rsid w:val="005A7A1D"/>
    <w:rsid w:val="005A7BDC"/>
    <w:rsid w:val="005B0538"/>
    <w:rsid w:val="005B0ABE"/>
    <w:rsid w:val="005B0DF5"/>
    <w:rsid w:val="005B18C1"/>
    <w:rsid w:val="005B193D"/>
    <w:rsid w:val="005B1A55"/>
    <w:rsid w:val="005B1DE2"/>
    <w:rsid w:val="005B1F15"/>
    <w:rsid w:val="005B23D1"/>
    <w:rsid w:val="005B269A"/>
    <w:rsid w:val="005B2715"/>
    <w:rsid w:val="005B2B73"/>
    <w:rsid w:val="005B3D1D"/>
    <w:rsid w:val="005B3E30"/>
    <w:rsid w:val="005B3F53"/>
    <w:rsid w:val="005B4416"/>
    <w:rsid w:val="005B4E55"/>
    <w:rsid w:val="005B5C1C"/>
    <w:rsid w:val="005B5DAA"/>
    <w:rsid w:val="005B619C"/>
    <w:rsid w:val="005B6244"/>
    <w:rsid w:val="005B64AE"/>
    <w:rsid w:val="005B69E7"/>
    <w:rsid w:val="005B7164"/>
    <w:rsid w:val="005B7290"/>
    <w:rsid w:val="005B7BAE"/>
    <w:rsid w:val="005B7EB9"/>
    <w:rsid w:val="005B7F82"/>
    <w:rsid w:val="005C01A6"/>
    <w:rsid w:val="005C072B"/>
    <w:rsid w:val="005C0876"/>
    <w:rsid w:val="005C09E5"/>
    <w:rsid w:val="005C0CF5"/>
    <w:rsid w:val="005C0D38"/>
    <w:rsid w:val="005C0E76"/>
    <w:rsid w:val="005C0F8B"/>
    <w:rsid w:val="005C1BFA"/>
    <w:rsid w:val="005C23FF"/>
    <w:rsid w:val="005C2401"/>
    <w:rsid w:val="005C2E2F"/>
    <w:rsid w:val="005C3A3B"/>
    <w:rsid w:val="005C3FD3"/>
    <w:rsid w:val="005C453E"/>
    <w:rsid w:val="005C4C4A"/>
    <w:rsid w:val="005C4E15"/>
    <w:rsid w:val="005C4E3A"/>
    <w:rsid w:val="005C4F05"/>
    <w:rsid w:val="005C4F52"/>
    <w:rsid w:val="005C5803"/>
    <w:rsid w:val="005C5DB4"/>
    <w:rsid w:val="005C63B6"/>
    <w:rsid w:val="005C66D2"/>
    <w:rsid w:val="005C6EAA"/>
    <w:rsid w:val="005C6F72"/>
    <w:rsid w:val="005C6FE7"/>
    <w:rsid w:val="005C7310"/>
    <w:rsid w:val="005C7CB5"/>
    <w:rsid w:val="005C7D48"/>
    <w:rsid w:val="005C7FE9"/>
    <w:rsid w:val="005D0042"/>
    <w:rsid w:val="005D0F4D"/>
    <w:rsid w:val="005D11A4"/>
    <w:rsid w:val="005D1244"/>
    <w:rsid w:val="005D188D"/>
    <w:rsid w:val="005D1D06"/>
    <w:rsid w:val="005D2498"/>
    <w:rsid w:val="005D2673"/>
    <w:rsid w:val="005D270E"/>
    <w:rsid w:val="005D33CC"/>
    <w:rsid w:val="005D3412"/>
    <w:rsid w:val="005D3477"/>
    <w:rsid w:val="005D3938"/>
    <w:rsid w:val="005D3A9E"/>
    <w:rsid w:val="005D3CA5"/>
    <w:rsid w:val="005D3E8D"/>
    <w:rsid w:val="005D4166"/>
    <w:rsid w:val="005D47F0"/>
    <w:rsid w:val="005D4C01"/>
    <w:rsid w:val="005D57C0"/>
    <w:rsid w:val="005D5990"/>
    <w:rsid w:val="005D63EF"/>
    <w:rsid w:val="005D6487"/>
    <w:rsid w:val="005D65ED"/>
    <w:rsid w:val="005D6C71"/>
    <w:rsid w:val="005D72A9"/>
    <w:rsid w:val="005D7382"/>
    <w:rsid w:val="005D7386"/>
    <w:rsid w:val="005D7750"/>
    <w:rsid w:val="005D77BE"/>
    <w:rsid w:val="005D7CAF"/>
    <w:rsid w:val="005D7DF9"/>
    <w:rsid w:val="005E0178"/>
    <w:rsid w:val="005E06D8"/>
    <w:rsid w:val="005E071C"/>
    <w:rsid w:val="005E0CFC"/>
    <w:rsid w:val="005E0DCD"/>
    <w:rsid w:val="005E13F2"/>
    <w:rsid w:val="005E1AEF"/>
    <w:rsid w:val="005E1AFC"/>
    <w:rsid w:val="005E1B90"/>
    <w:rsid w:val="005E1B93"/>
    <w:rsid w:val="005E1CBE"/>
    <w:rsid w:val="005E25D8"/>
    <w:rsid w:val="005E2A1B"/>
    <w:rsid w:val="005E2C42"/>
    <w:rsid w:val="005E2DD0"/>
    <w:rsid w:val="005E3122"/>
    <w:rsid w:val="005E331B"/>
    <w:rsid w:val="005E418C"/>
    <w:rsid w:val="005E4460"/>
    <w:rsid w:val="005E4A18"/>
    <w:rsid w:val="005E4EBF"/>
    <w:rsid w:val="005E519B"/>
    <w:rsid w:val="005E5455"/>
    <w:rsid w:val="005E5957"/>
    <w:rsid w:val="005E5985"/>
    <w:rsid w:val="005E60A4"/>
    <w:rsid w:val="005E67EC"/>
    <w:rsid w:val="005E68C6"/>
    <w:rsid w:val="005E6A20"/>
    <w:rsid w:val="005E6DDB"/>
    <w:rsid w:val="005E74FE"/>
    <w:rsid w:val="005E7768"/>
    <w:rsid w:val="005E7BC3"/>
    <w:rsid w:val="005E7E39"/>
    <w:rsid w:val="005F04FE"/>
    <w:rsid w:val="005F0725"/>
    <w:rsid w:val="005F1464"/>
    <w:rsid w:val="005F14B7"/>
    <w:rsid w:val="005F159A"/>
    <w:rsid w:val="005F185A"/>
    <w:rsid w:val="005F1C58"/>
    <w:rsid w:val="005F1F50"/>
    <w:rsid w:val="005F24D5"/>
    <w:rsid w:val="005F2A27"/>
    <w:rsid w:val="005F305A"/>
    <w:rsid w:val="005F3822"/>
    <w:rsid w:val="005F3DD2"/>
    <w:rsid w:val="005F4264"/>
    <w:rsid w:val="005F42BF"/>
    <w:rsid w:val="005F42C3"/>
    <w:rsid w:val="005F4513"/>
    <w:rsid w:val="005F4705"/>
    <w:rsid w:val="005F4E6D"/>
    <w:rsid w:val="005F4FEF"/>
    <w:rsid w:val="005F53A6"/>
    <w:rsid w:val="005F55A3"/>
    <w:rsid w:val="005F55F8"/>
    <w:rsid w:val="005F57B4"/>
    <w:rsid w:val="005F5912"/>
    <w:rsid w:val="005F5A3F"/>
    <w:rsid w:val="005F5B70"/>
    <w:rsid w:val="005F6063"/>
    <w:rsid w:val="005F634E"/>
    <w:rsid w:val="005F6771"/>
    <w:rsid w:val="005F6C51"/>
    <w:rsid w:val="005F6EC1"/>
    <w:rsid w:val="005F72F3"/>
    <w:rsid w:val="005F7986"/>
    <w:rsid w:val="005F7F0C"/>
    <w:rsid w:val="005F7F4A"/>
    <w:rsid w:val="006001BA"/>
    <w:rsid w:val="00600201"/>
    <w:rsid w:val="006002C5"/>
    <w:rsid w:val="006003DF"/>
    <w:rsid w:val="0060059A"/>
    <w:rsid w:val="00600DBB"/>
    <w:rsid w:val="00601791"/>
    <w:rsid w:val="00601A5C"/>
    <w:rsid w:val="00601BCD"/>
    <w:rsid w:val="00601DB0"/>
    <w:rsid w:val="00602C04"/>
    <w:rsid w:val="00602F6F"/>
    <w:rsid w:val="00603390"/>
    <w:rsid w:val="00603896"/>
    <w:rsid w:val="00603EDC"/>
    <w:rsid w:val="00604144"/>
    <w:rsid w:val="00604541"/>
    <w:rsid w:val="0060469B"/>
    <w:rsid w:val="00604E8F"/>
    <w:rsid w:val="006054B8"/>
    <w:rsid w:val="006054CF"/>
    <w:rsid w:val="00605D12"/>
    <w:rsid w:val="00606200"/>
    <w:rsid w:val="0060667B"/>
    <w:rsid w:val="00606823"/>
    <w:rsid w:val="0060697A"/>
    <w:rsid w:val="006078D3"/>
    <w:rsid w:val="00607B82"/>
    <w:rsid w:val="0061028B"/>
    <w:rsid w:val="0061035E"/>
    <w:rsid w:val="00610C48"/>
    <w:rsid w:val="00610DA9"/>
    <w:rsid w:val="00610DC8"/>
    <w:rsid w:val="0061117B"/>
    <w:rsid w:val="006112B2"/>
    <w:rsid w:val="0061154D"/>
    <w:rsid w:val="0061166D"/>
    <w:rsid w:val="00611757"/>
    <w:rsid w:val="00611AD4"/>
    <w:rsid w:val="0061230B"/>
    <w:rsid w:val="00612365"/>
    <w:rsid w:val="006126B6"/>
    <w:rsid w:val="0061292C"/>
    <w:rsid w:val="00612A72"/>
    <w:rsid w:val="00612BAF"/>
    <w:rsid w:val="00612BE1"/>
    <w:rsid w:val="00612D80"/>
    <w:rsid w:val="0061407F"/>
    <w:rsid w:val="0061423E"/>
    <w:rsid w:val="0061459D"/>
    <w:rsid w:val="006145C4"/>
    <w:rsid w:val="00614632"/>
    <w:rsid w:val="00614E59"/>
    <w:rsid w:val="006153D7"/>
    <w:rsid w:val="00615980"/>
    <w:rsid w:val="00615A2E"/>
    <w:rsid w:val="00615A64"/>
    <w:rsid w:val="00615D73"/>
    <w:rsid w:val="006168E1"/>
    <w:rsid w:val="006169D5"/>
    <w:rsid w:val="00616CFD"/>
    <w:rsid w:val="00616EE1"/>
    <w:rsid w:val="00617873"/>
    <w:rsid w:val="00617AD3"/>
    <w:rsid w:val="00617DA8"/>
    <w:rsid w:val="00620FB9"/>
    <w:rsid w:val="0062115B"/>
    <w:rsid w:val="00621240"/>
    <w:rsid w:val="00621321"/>
    <w:rsid w:val="00621636"/>
    <w:rsid w:val="00621642"/>
    <w:rsid w:val="0062169F"/>
    <w:rsid w:val="00621DEA"/>
    <w:rsid w:val="00621F0D"/>
    <w:rsid w:val="00622044"/>
    <w:rsid w:val="00622237"/>
    <w:rsid w:val="006223DD"/>
    <w:rsid w:val="00622544"/>
    <w:rsid w:val="00622668"/>
    <w:rsid w:val="006226BC"/>
    <w:rsid w:val="00623FAB"/>
    <w:rsid w:val="00624011"/>
    <w:rsid w:val="00624157"/>
    <w:rsid w:val="006244B9"/>
    <w:rsid w:val="006245F6"/>
    <w:rsid w:val="00624706"/>
    <w:rsid w:val="00624866"/>
    <w:rsid w:val="00624976"/>
    <w:rsid w:val="0062591C"/>
    <w:rsid w:val="00625A28"/>
    <w:rsid w:val="006260A2"/>
    <w:rsid w:val="006267D5"/>
    <w:rsid w:val="00626889"/>
    <w:rsid w:val="006269DD"/>
    <w:rsid w:val="00626BC6"/>
    <w:rsid w:val="00626E9B"/>
    <w:rsid w:val="0062767C"/>
    <w:rsid w:val="0063019F"/>
    <w:rsid w:val="0063027F"/>
    <w:rsid w:val="00630819"/>
    <w:rsid w:val="00630DFB"/>
    <w:rsid w:val="00630F44"/>
    <w:rsid w:val="006311FE"/>
    <w:rsid w:val="00631309"/>
    <w:rsid w:val="0063142D"/>
    <w:rsid w:val="00632527"/>
    <w:rsid w:val="00632788"/>
    <w:rsid w:val="00632847"/>
    <w:rsid w:val="00632C75"/>
    <w:rsid w:val="0063313D"/>
    <w:rsid w:val="0063337D"/>
    <w:rsid w:val="006334EA"/>
    <w:rsid w:val="0063350A"/>
    <w:rsid w:val="00633EB0"/>
    <w:rsid w:val="00633F30"/>
    <w:rsid w:val="006351C0"/>
    <w:rsid w:val="00635B55"/>
    <w:rsid w:val="00635C68"/>
    <w:rsid w:val="00635E68"/>
    <w:rsid w:val="006365A5"/>
    <w:rsid w:val="0063688D"/>
    <w:rsid w:val="00636BCC"/>
    <w:rsid w:val="00636FBE"/>
    <w:rsid w:val="00637CC6"/>
    <w:rsid w:val="00640091"/>
    <w:rsid w:val="006402A7"/>
    <w:rsid w:val="006409A5"/>
    <w:rsid w:val="00640C52"/>
    <w:rsid w:val="00640E19"/>
    <w:rsid w:val="00641471"/>
    <w:rsid w:val="00641826"/>
    <w:rsid w:val="00641F49"/>
    <w:rsid w:val="00641FAC"/>
    <w:rsid w:val="006424A4"/>
    <w:rsid w:val="006428A0"/>
    <w:rsid w:val="00642A5A"/>
    <w:rsid w:val="00643E42"/>
    <w:rsid w:val="006440B8"/>
    <w:rsid w:val="00644130"/>
    <w:rsid w:val="0064468F"/>
    <w:rsid w:val="006447E2"/>
    <w:rsid w:val="00644903"/>
    <w:rsid w:val="00644BEF"/>
    <w:rsid w:val="00644CA6"/>
    <w:rsid w:val="00644D03"/>
    <w:rsid w:val="00644DBB"/>
    <w:rsid w:val="006456BF"/>
    <w:rsid w:val="00645E62"/>
    <w:rsid w:val="006463D3"/>
    <w:rsid w:val="00646FC8"/>
    <w:rsid w:val="00647272"/>
    <w:rsid w:val="0064727D"/>
    <w:rsid w:val="0064759D"/>
    <w:rsid w:val="006475BB"/>
    <w:rsid w:val="00647A24"/>
    <w:rsid w:val="00647FD1"/>
    <w:rsid w:val="00650707"/>
    <w:rsid w:val="00651179"/>
    <w:rsid w:val="006512E3"/>
    <w:rsid w:val="00651595"/>
    <w:rsid w:val="006517D0"/>
    <w:rsid w:val="006525CF"/>
    <w:rsid w:val="006527D5"/>
    <w:rsid w:val="006529FF"/>
    <w:rsid w:val="0065310A"/>
    <w:rsid w:val="0065405D"/>
    <w:rsid w:val="00654179"/>
    <w:rsid w:val="006542BD"/>
    <w:rsid w:val="006548C6"/>
    <w:rsid w:val="00654CA1"/>
    <w:rsid w:val="00654F94"/>
    <w:rsid w:val="006550B6"/>
    <w:rsid w:val="00655700"/>
    <w:rsid w:val="0065571F"/>
    <w:rsid w:val="006557C0"/>
    <w:rsid w:val="00656572"/>
    <w:rsid w:val="0065669B"/>
    <w:rsid w:val="00656AED"/>
    <w:rsid w:val="00656B07"/>
    <w:rsid w:val="00656D34"/>
    <w:rsid w:val="00656D64"/>
    <w:rsid w:val="0065702D"/>
    <w:rsid w:val="006574A8"/>
    <w:rsid w:val="006575AB"/>
    <w:rsid w:val="006579CF"/>
    <w:rsid w:val="00657AFF"/>
    <w:rsid w:val="00657F92"/>
    <w:rsid w:val="00660448"/>
    <w:rsid w:val="00660A5F"/>
    <w:rsid w:val="00661718"/>
    <w:rsid w:val="00661AD1"/>
    <w:rsid w:val="00661BFF"/>
    <w:rsid w:val="00661C3A"/>
    <w:rsid w:val="00661E9B"/>
    <w:rsid w:val="00661F4E"/>
    <w:rsid w:val="0066223F"/>
    <w:rsid w:val="0066241C"/>
    <w:rsid w:val="006625F1"/>
    <w:rsid w:val="00662673"/>
    <w:rsid w:val="00662682"/>
    <w:rsid w:val="0066275E"/>
    <w:rsid w:val="0066357B"/>
    <w:rsid w:val="0066439A"/>
    <w:rsid w:val="00664746"/>
    <w:rsid w:val="006649BC"/>
    <w:rsid w:val="00664D2D"/>
    <w:rsid w:val="00664F7E"/>
    <w:rsid w:val="00665A62"/>
    <w:rsid w:val="00665AAD"/>
    <w:rsid w:val="00665CA2"/>
    <w:rsid w:val="006660E7"/>
    <w:rsid w:val="00666242"/>
    <w:rsid w:val="00666664"/>
    <w:rsid w:val="00666A4F"/>
    <w:rsid w:val="00666C68"/>
    <w:rsid w:val="00666F53"/>
    <w:rsid w:val="00667074"/>
    <w:rsid w:val="006671B2"/>
    <w:rsid w:val="00667212"/>
    <w:rsid w:val="0066781A"/>
    <w:rsid w:val="00667CA1"/>
    <w:rsid w:val="00670166"/>
    <w:rsid w:val="0067201D"/>
    <w:rsid w:val="006720C3"/>
    <w:rsid w:val="006721F0"/>
    <w:rsid w:val="006722BB"/>
    <w:rsid w:val="00672818"/>
    <w:rsid w:val="006739BA"/>
    <w:rsid w:val="006741B7"/>
    <w:rsid w:val="006748A4"/>
    <w:rsid w:val="00674C3D"/>
    <w:rsid w:val="0067529D"/>
    <w:rsid w:val="00675573"/>
    <w:rsid w:val="00675980"/>
    <w:rsid w:val="006759F9"/>
    <w:rsid w:val="00675A0F"/>
    <w:rsid w:val="00675AB9"/>
    <w:rsid w:val="00675B7B"/>
    <w:rsid w:val="00676117"/>
    <w:rsid w:val="00676233"/>
    <w:rsid w:val="00676425"/>
    <w:rsid w:val="00676777"/>
    <w:rsid w:val="00676F9F"/>
    <w:rsid w:val="006772CC"/>
    <w:rsid w:val="0067784C"/>
    <w:rsid w:val="00677F1A"/>
    <w:rsid w:val="00680059"/>
    <w:rsid w:val="00680079"/>
    <w:rsid w:val="00680378"/>
    <w:rsid w:val="00680502"/>
    <w:rsid w:val="006807AC"/>
    <w:rsid w:val="00680A8B"/>
    <w:rsid w:val="00680EA2"/>
    <w:rsid w:val="00681149"/>
    <w:rsid w:val="00681998"/>
    <w:rsid w:val="00681F84"/>
    <w:rsid w:val="0068229A"/>
    <w:rsid w:val="00682736"/>
    <w:rsid w:val="00682E6D"/>
    <w:rsid w:val="00682FB4"/>
    <w:rsid w:val="00683713"/>
    <w:rsid w:val="00683A83"/>
    <w:rsid w:val="00683EB8"/>
    <w:rsid w:val="00683F1B"/>
    <w:rsid w:val="006844AA"/>
    <w:rsid w:val="00684722"/>
    <w:rsid w:val="006847B0"/>
    <w:rsid w:val="0068496A"/>
    <w:rsid w:val="00684B29"/>
    <w:rsid w:val="00684D23"/>
    <w:rsid w:val="00685398"/>
    <w:rsid w:val="006853BE"/>
    <w:rsid w:val="00685C2C"/>
    <w:rsid w:val="0068602C"/>
    <w:rsid w:val="0068666D"/>
    <w:rsid w:val="006867C8"/>
    <w:rsid w:val="0068728B"/>
    <w:rsid w:val="00687484"/>
    <w:rsid w:val="006876A2"/>
    <w:rsid w:val="006878DE"/>
    <w:rsid w:val="00687D81"/>
    <w:rsid w:val="006909C7"/>
    <w:rsid w:val="00690EB8"/>
    <w:rsid w:val="006917CA"/>
    <w:rsid w:val="0069181D"/>
    <w:rsid w:val="00692002"/>
    <w:rsid w:val="00692087"/>
    <w:rsid w:val="006928BA"/>
    <w:rsid w:val="006928BD"/>
    <w:rsid w:val="0069367C"/>
    <w:rsid w:val="0069381D"/>
    <w:rsid w:val="00693D10"/>
    <w:rsid w:val="00693DA4"/>
    <w:rsid w:val="00694346"/>
    <w:rsid w:val="006944E0"/>
    <w:rsid w:val="0069451E"/>
    <w:rsid w:val="00694855"/>
    <w:rsid w:val="006948FC"/>
    <w:rsid w:val="00694BB0"/>
    <w:rsid w:val="00694EB8"/>
    <w:rsid w:val="00695673"/>
    <w:rsid w:val="00695FC1"/>
    <w:rsid w:val="0069694F"/>
    <w:rsid w:val="00697442"/>
    <w:rsid w:val="006977A2"/>
    <w:rsid w:val="00697A23"/>
    <w:rsid w:val="006A0905"/>
    <w:rsid w:val="006A0F15"/>
    <w:rsid w:val="006A1DF5"/>
    <w:rsid w:val="006A1E40"/>
    <w:rsid w:val="006A215B"/>
    <w:rsid w:val="006A22CB"/>
    <w:rsid w:val="006A25FF"/>
    <w:rsid w:val="006A2B44"/>
    <w:rsid w:val="006A3001"/>
    <w:rsid w:val="006A483D"/>
    <w:rsid w:val="006A4CFE"/>
    <w:rsid w:val="006A4DCC"/>
    <w:rsid w:val="006A4DED"/>
    <w:rsid w:val="006A4FA2"/>
    <w:rsid w:val="006A50C7"/>
    <w:rsid w:val="006A52B0"/>
    <w:rsid w:val="006A53F5"/>
    <w:rsid w:val="006A596F"/>
    <w:rsid w:val="006A59AA"/>
    <w:rsid w:val="006A5C66"/>
    <w:rsid w:val="006A5D23"/>
    <w:rsid w:val="006A6338"/>
    <w:rsid w:val="006A63CE"/>
    <w:rsid w:val="006A689C"/>
    <w:rsid w:val="006A7682"/>
    <w:rsid w:val="006A785E"/>
    <w:rsid w:val="006A797A"/>
    <w:rsid w:val="006B021B"/>
    <w:rsid w:val="006B04EC"/>
    <w:rsid w:val="006B0A39"/>
    <w:rsid w:val="006B0DF2"/>
    <w:rsid w:val="006B0FD7"/>
    <w:rsid w:val="006B1614"/>
    <w:rsid w:val="006B1A59"/>
    <w:rsid w:val="006B210B"/>
    <w:rsid w:val="006B2A0F"/>
    <w:rsid w:val="006B2C87"/>
    <w:rsid w:val="006B2F94"/>
    <w:rsid w:val="006B3667"/>
    <w:rsid w:val="006B3C79"/>
    <w:rsid w:val="006B4268"/>
    <w:rsid w:val="006B5065"/>
    <w:rsid w:val="006B5749"/>
    <w:rsid w:val="006B62B2"/>
    <w:rsid w:val="006B6376"/>
    <w:rsid w:val="006B6B9F"/>
    <w:rsid w:val="006B6C58"/>
    <w:rsid w:val="006B6F8E"/>
    <w:rsid w:val="006B7A6A"/>
    <w:rsid w:val="006B7CF1"/>
    <w:rsid w:val="006C0084"/>
    <w:rsid w:val="006C0363"/>
    <w:rsid w:val="006C0717"/>
    <w:rsid w:val="006C08AD"/>
    <w:rsid w:val="006C0B39"/>
    <w:rsid w:val="006C0B49"/>
    <w:rsid w:val="006C0BC3"/>
    <w:rsid w:val="006C0F08"/>
    <w:rsid w:val="006C11A8"/>
    <w:rsid w:val="006C1C91"/>
    <w:rsid w:val="006C2362"/>
    <w:rsid w:val="006C24BB"/>
    <w:rsid w:val="006C2515"/>
    <w:rsid w:val="006C291D"/>
    <w:rsid w:val="006C2DB1"/>
    <w:rsid w:val="006C2DBB"/>
    <w:rsid w:val="006C3444"/>
    <w:rsid w:val="006C34AC"/>
    <w:rsid w:val="006C3850"/>
    <w:rsid w:val="006C3A29"/>
    <w:rsid w:val="006C3E68"/>
    <w:rsid w:val="006C4B22"/>
    <w:rsid w:val="006C5991"/>
    <w:rsid w:val="006C5BFF"/>
    <w:rsid w:val="006C5EF9"/>
    <w:rsid w:val="006C60FD"/>
    <w:rsid w:val="006C62E5"/>
    <w:rsid w:val="006C62E8"/>
    <w:rsid w:val="006C6415"/>
    <w:rsid w:val="006C644D"/>
    <w:rsid w:val="006C6CCF"/>
    <w:rsid w:val="006C6D40"/>
    <w:rsid w:val="006C6E05"/>
    <w:rsid w:val="006C724E"/>
    <w:rsid w:val="006C75F6"/>
    <w:rsid w:val="006C78B2"/>
    <w:rsid w:val="006C7B38"/>
    <w:rsid w:val="006C7C2F"/>
    <w:rsid w:val="006C7CA5"/>
    <w:rsid w:val="006C7CF2"/>
    <w:rsid w:val="006C7D43"/>
    <w:rsid w:val="006C7D99"/>
    <w:rsid w:val="006D00B4"/>
    <w:rsid w:val="006D032D"/>
    <w:rsid w:val="006D039E"/>
    <w:rsid w:val="006D045A"/>
    <w:rsid w:val="006D063E"/>
    <w:rsid w:val="006D0EBC"/>
    <w:rsid w:val="006D1231"/>
    <w:rsid w:val="006D1482"/>
    <w:rsid w:val="006D17FA"/>
    <w:rsid w:val="006D1A09"/>
    <w:rsid w:val="006D2213"/>
    <w:rsid w:val="006D24CA"/>
    <w:rsid w:val="006D2816"/>
    <w:rsid w:val="006D2823"/>
    <w:rsid w:val="006D28FC"/>
    <w:rsid w:val="006D35F0"/>
    <w:rsid w:val="006D3E20"/>
    <w:rsid w:val="006D41FF"/>
    <w:rsid w:val="006D4353"/>
    <w:rsid w:val="006D4AF9"/>
    <w:rsid w:val="006D4B04"/>
    <w:rsid w:val="006D4C6A"/>
    <w:rsid w:val="006D58D6"/>
    <w:rsid w:val="006D5AEB"/>
    <w:rsid w:val="006D5F61"/>
    <w:rsid w:val="006D6369"/>
    <w:rsid w:val="006D642F"/>
    <w:rsid w:val="006D6685"/>
    <w:rsid w:val="006E03D7"/>
    <w:rsid w:val="006E042B"/>
    <w:rsid w:val="006E05F1"/>
    <w:rsid w:val="006E060A"/>
    <w:rsid w:val="006E07B2"/>
    <w:rsid w:val="006E0979"/>
    <w:rsid w:val="006E0CA7"/>
    <w:rsid w:val="006E0E68"/>
    <w:rsid w:val="006E111D"/>
    <w:rsid w:val="006E132B"/>
    <w:rsid w:val="006E1330"/>
    <w:rsid w:val="006E1624"/>
    <w:rsid w:val="006E1927"/>
    <w:rsid w:val="006E1D33"/>
    <w:rsid w:val="006E1DE4"/>
    <w:rsid w:val="006E22E5"/>
    <w:rsid w:val="006E2664"/>
    <w:rsid w:val="006E2A9D"/>
    <w:rsid w:val="006E2AC6"/>
    <w:rsid w:val="006E2B58"/>
    <w:rsid w:val="006E2FFA"/>
    <w:rsid w:val="006E31B1"/>
    <w:rsid w:val="006E31E3"/>
    <w:rsid w:val="006E3516"/>
    <w:rsid w:val="006E363C"/>
    <w:rsid w:val="006E43EF"/>
    <w:rsid w:val="006E4444"/>
    <w:rsid w:val="006E454D"/>
    <w:rsid w:val="006E45AB"/>
    <w:rsid w:val="006E4816"/>
    <w:rsid w:val="006E48F4"/>
    <w:rsid w:val="006E49B4"/>
    <w:rsid w:val="006E4D05"/>
    <w:rsid w:val="006E507B"/>
    <w:rsid w:val="006E50C9"/>
    <w:rsid w:val="006E59E1"/>
    <w:rsid w:val="006E5ABA"/>
    <w:rsid w:val="006E6088"/>
    <w:rsid w:val="006E6FB6"/>
    <w:rsid w:val="006E7B14"/>
    <w:rsid w:val="006E7E01"/>
    <w:rsid w:val="006E7F3E"/>
    <w:rsid w:val="006F06ED"/>
    <w:rsid w:val="006F185E"/>
    <w:rsid w:val="006F1955"/>
    <w:rsid w:val="006F1C7C"/>
    <w:rsid w:val="006F2488"/>
    <w:rsid w:val="006F25A3"/>
    <w:rsid w:val="006F28AE"/>
    <w:rsid w:val="006F2B48"/>
    <w:rsid w:val="006F303D"/>
    <w:rsid w:val="006F32B2"/>
    <w:rsid w:val="006F3317"/>
    <w:rsid w:val="006F379B"/>
    <w:rsid w:val="006F38E4"/>
    <w:rsid w:val="006F3B25"/>
    <w:rsid w:val="006F3B26"/>
    <w:rsid w:val="006F3C7C"/>
    <w:rsid w:val="006F3CE6"/>
    <w:rsid w:val="006F3F76"/>
    <w:rsid w:val="006F424E"/>
    <w:rsid w:val="006F4C1F"/>
    <w:rsid w:val="006F4EFA"/>
    <w:rsid w:val="006F4F82"/>
    <w:rsid w:val="006F5496"/>
    <w:rsid w:val="006F59AA"/>
    <w:rsid w:val="006F5EA3"/>
    <w:rsid w:val="006F600C"/>
    <w:rsid w:val="006F625B"/>
    <w:rsid w:val="006F625F"/>
    <w:rsid w:val="006F6A22"/>
    <w:rsid w:val="006F6D7F"/>
    <w:rsid w:val="00700267"/>
    <w:rsid w:val="00700A19"/>
    <w:rsid w:val="00700DB8"/>
    <w:rsid w:val="00701B16"/>
    <w:rsid w:val="007026BE"/>
    <w:rsid w:val="00702D49"/>
    <w:rsid w:val="00702DCE"/>
    <w:rsid w:val="007033C1"/>
    <w:rsid w:val="007036FC"/>
    <w:rsid w:val="00703B76"/>
    <w:rsid w:val="00704431"/>
    <w:rsid w:val="007047EC"/>
    <w:rsid w:val="0070493A"/>
    <w:rsid w:val="00704E63"/>
    <w:rsid w:val="007057DE"/>
    <w:rsid w:val="00705D0E"/>
    <w:rsid w:val="00705D15"/>
    <w:rsid w:val="0070646B"/>
    <w:rsid w:val="007068DD"/>
    <w:rsid w:val="00706C40"/>
    <w:rsid w:val="00707001"/>
    <w:rsid w:val="00707069"/>
    <w:rsid w:val="007071AF"/>
    <w:rsid w:val="00710203"/>
    <w:rsid w:val="007103AD"/>
    <w:rsid w:val="00710CE8"/>
    <w:rsid w:val="00710FE8"/>
    <w:rsid w:val="0071157A"/>
    <w:rsid w:val="00711A9B"/>
    <w:rsid w:val="007121BE"/>
    <w:rsid w:val="0071246C"/>
    <w:rsid w:val="007126A3"/>
    <w:rsid w:val="007126AC"/>
    <w:rsid w:val="0071334E"/>
    <w:rsid w:val="007139FF"/>
    <w:rsid w:val="00713B22"/>
    <w:rsid w:val="00713C13"/>
    <w:rsid w:val="0071407A"/>
    <w:rsid w:val="007141DE"/>
    <w:rsid w:val="0071438D"/>
    <w:rsid w:val="007145FE"/>
    <w:rsid w:val="00715135"/>
    <w:rsid w:val="00715D3D"/>
    <w:rsid w:val="00716474"/>
    <w:rsid w:val="007169AE"/>
    <w:rsid w:val="00716A39"/>
    <w:rsid w:val="00717380"/>
    <w:rsid w:val="007203E6"/>
    <w:rsid w:val="00720C36"/>
    <w:rsid w:val="00720FD3"/>
    <w:rsid w:val="00721C44"/>
    <w:rsid w:val="0072227B"/>
    <w:rsid w:val="00722365"/>
    <w:rsid w:val="00722727"/>
    <w:rsid w:val="00723177"/>
    <w:rsid w:val="007234AF"/>
    <w:rsid w:val="0072368B"/>
    <w:rsid w:val="00724C1F"/>
    <w:rsid w:val="00724EF3"/>
    <w:rsid w:val="00725507"/>
    <w:rsid w:val="00725D1F"/>
    <w:rsid w:val="00725F80"/>
    <w:rsid w:val="00726220"/>
    <w:rsid w:val="00726E77"/>
    <w:rsid w:val="0072705C"/>
    <w:rsid w:val="00727199"/>
    <w:rsid w:val="007271AD"/>
    <w:rsid w:val="00727AC2"/>
    <w:rsid w:val="00727B07"/>
    <w:rsid w:val="00727D61"/>
    <w:rsid w:val="00727EB1"/>
    <w:rsid w:val="00727EC2"/>
    <w:rsid w:val="00730423"/>
    <w:rsid w:val="0073069F"/>
    <w:rsid w:val="007307E9"/>
    <w:rsid w:val="0073128A"/>
    <w:rsid w:val="007314A7"/>
    <w:rsid w:val="00731E18"/>
    <w:rsid w:val="00731E23"/>
    <w:rsid w:val="007320CE"/>
    <w:rsid w:val="007322E8"/>
    <w:rsid w:val="00732349"/>
    <w:rsid w:val="00732545"/>
    <w:rsid w:val="007329B5"/>
    <w:rsid w:val="00732AE9"/>
    <w:rsid w:val="00732C74"/>
    <w:rsid w:val="00732E62"/>
    <w:rsid w:val="007338DE"/>
    <w:rsid w:val="00733D4C"/>
    <w:rsid w:val="00733E39"/>
    <w:rsid w:val="0073532A"/>
    <w:rsid w:val="00735B3A"/>
    <w:rsid w:val="00735BC4"/>
    <w:rsid w:val="0073603D"/>
    <w:rsid w:val="0073609F"/>
    <w:rsid w:val="0073623F"/>
    <w:rsid w:val="0073670F"/>
    <w:rsid w:val="00736D53"/>
    <w:rsid w:val="007370A0"/>
    <w:rsid w:val="00737559"/>
    <w:rsid w:val="00737AE5"/>
    <w:rsid w:val="0074015A"/>
    <w:rsid w:val="00740321"/>
    <w:rsid w:val="007403D1"/>
    <w:rsid w:val="0074055F"/>
    <w:rsid w:val="0074072A"/>
    <w:rsid w:val="0074077E"/>
    <w:rsid w:val="007417C0"/>
    <w:rsid w:val="00741A30"/>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F9C"/>
    <w:rsid w:val="00743FCD"/>
    <w:rsid w:val="0074432D"/>
    <w:rsid w:val="00744542"/>
    <w:rsid w:val="00744737"/>
    <w:rsid w:val="00744D64"/>
    <w:rsid w:val="007459C9"/>
    <w:rsid w:val="00745B0C"/>
    <w:rsid w:val="00745CEE"/>
    <w:rsid w:val="00746C92"/>
    <w:rsid w:val="00746CA7"/>
    <w:rsid w:val="00746DA4"/>
    <w:rsid w:val="00746E8F"/>
    <w:rsid w:val="00747915"/>
    <w:rsid w:val="00747AC2"/>
    <w:rsid w:val="0075031E"/>
    <w:rsid w:val="0075031F"/>
    <w:rsid w:val="007505C4"/>
    <w:rsid w:val="00750F62"/>
    <w:rsid w:val="007512BE"/>
    <w:rsid w:val="00751916"/>
    <w:rsid w:val="00751D28"/>
    <w:rsid w:val="00751E66"/>
    <w:rsid w:val="0075283A"/>
    <w:rsid w:val="00752E0A"/>
    <w:rsid w:val="00753024"/>
    <w:rsid w:val="00753075"/>
    <w:rsid w:val="007531E3"/>
    <w:rsid w:val="007533E3"/>
    <w:rsid w:val="00753474"/>
    <w:rsid w:val="007536CE"/>
    <w:rsid w:val="00753891"/>
    <w:rsid w:val="007546EC"/>
    <w:rsid w:val="00754DA2"/>
    <w:rsid w:val="00754E47"/>
    <w:rsid w:val="00754FB8"/>
    <w:rsid w:val="007550D9"/>
    <w:rsid w:val="007551FE"/>
    <w:rsid w:val="00755538"/>
    <w:rsid w:val="007556E5"/>
    <w:rsid w:val="00755AFD"/>
    <w:rsid w:val="00755E36"/>
    <w:rsid w:val="0075606D"/>
    <w:rsid w:val="007561DB"/>
    <w:rsid w:val="0075633E"/>
    <w:rsid w:val="0075663F"/>
    <w:rsid w:val="00756708"/>
    <w:rsid w:val="007570A4"/>
    <w:rsid w:val="0075746D"/>
    <w:rsid w:val="007604DA"/>
    <w:rsid w:val="00760688"/>
    <w:rsid w:val="00760856"/>
    <w:rsid w:val="00761709"/>
    <w:rsid w:val="00761F18"/>
    <w:rsid w:val="00761FFC"/>
    <w:rsid w:val="00762555"/>
    <w:rsid w:val="0076268C"/>
    <w:rsid w:val="007626FC"/>
    <w:rsid w:val="00762858"/>
    <w:rsid w:val="00762949"/>
    <w:rsid w:val="00763152"/>
    <w:rsid w:val="00763440"/>
    <w:rsid w:val="00764484"/>
    <w:rsid w:val="007644DE"/>
    <w:rsid w:val="00764E30"/>
    <w:rsid w:val="00764F7C"/>
    <w:rsid w:val="00764FE6"/>
    <w:rsid w:val="0076511D"/>
    <w:rsid w:val="0076526E"/>
    <w:rsid w:val="007655BC"/>
    <w:rsid w:val="00765B2D"/>
    <w:rsid w:val="00765D27"/>
    <w:rsid w:val="0076621E"/>
    <w:rsid w:val="007662A3"/>
    <w:rsid w:val="00766B29"/>
    <w:rsid w:val="00766BD1"/>
    <w:rsid w:val="00766CA2"/>
    <w:rsid w:val="00766DE4"/>
    <w:rsid w:val="007670C1"/>
    <w:rsid w:val="0076724E"/>
    <w:rsid w:val="007674A5"/>
    <w:rsid w:val="0076793E"/>
    <w:rsid w:val="00767E0E"/>
    <w:rsid w:val="00770586"/>
    <w:rsid w:val="00770C29"/>
    <w:rsid w:val="00771084"/>
    <w:rsid w:val="007710FC"/>
    <w:rsid w:val="00771239"/>
    <w:rsid w:val="00771EA7"/>
    <w:rsid w:val="00772590"/>
    <w:rsid w:val="007726D3"/>
    <w:rsid w:val="00772EDE"/>
    <w:rsid w:val="00773177"/>
    <w:rsid w:val="007732A2"/>
    <w:rsid w:val="0077340D"/>
    <w:rsid w:val="00773A40"/>
    <w:rsid w:val="007740D7"/>
    <w:rsid w:val="0077436F"/>
    <w:rsid w:val="00774A18"/>
    <w:rsid w:val="00774DDC"/>
    <w:rsid w:val="00776463"/>
    <w:rsid w:val="007767CB"/>
    <w:rsid w:val="00776AC6"/>
    <w:rsid w:val="00777518"/>
    <w:rsid w:val="00777A9B"/>
    <w:rsid w:val="00777BA4"/>
    <w:rsid w:val="00777BAC"/>
    <w:rsid w:val="00777BBC"/>
    <w:rsid w:val="00777F84"/>
    <w:rsid w:val="007803C2"/>
    <w:rsid w:val="00780515"/>
    <w:rsid w:val="007807DC"/>
    <w:rsid w:val="00780A6C"/>
    <w:rsid w:val="00780BE7"/>
    <w:rsid w:val="0078108A"/>
    <w:rsid w:val="0078108D"/>
    <w:rsid w:val="0078150A"/>
    <w:rsid w:val="00781ACC"/>
    <w:rsid w:val="00781ED1"/>
    <w:rsid w:val="00782039"/>
    <w:rsid w:val="007824E1"/>
    <w:rsid w:val="00782977"/>
    <w:rsid w:val="007830F2"/>
    <w:rsid w:val="007836CC"/>
    <w:rsid w:val="00783FA1"/>
    <w:rsid w:val="00784117"/>
    <w:rsid w:val="007849C7"/>
    <w:rsid w:val="00784D3E"/>
    <w:rsid w:val="00784F48"/>
    <w:rsid w:val="0078522A"/>
    <w:rsid w:val="00785C34"/>
    <w:rsid w:val="007860F9"/>
    <w:rsid w:val="0078686C"/>
    <w:rsid w:val="00786CE1"/>
    <w:rsid w:val="00786E66"/>
    <w:rsid w:val="007874EB"/>
    <w:rsid w:val="00787B4D"/>
    <w:rsid w:val="00787D65"/>
    <w:rsid w:val="00790259"/>
    <w:rsid w:val="007904E7"/>
    <w:rsid w:val="0079062F"/>
    <w:rsid w:val="00790AFB"/>
    <w:rsid w:val="00790C4E"/>
    <w:rsid w:val="00790EFA"/>
    <w:rsid w:val="00791181"/>
    <w:rsid w:val="00791352"/>
    <w:rsid w:val="007916D5"/>
    <w:rsid w:val="007917D7"/>
    <w:rsid w:val="00791A77"/>
    <w:rsid w:val="00791EFD"/>
    <w:rsid w:val="0079203C"/>
    <w:rsid w:val="00792110"/>
    <w:rsid w:val="0079218D"/>
    <w:rsid w:val="00792592"/>
    <w:rsid w:val="0079270B"/>
    <w:rsid w:val="00792A15"/>
    <w:rsid w:val="00792A65"/>
    <w:rsid w:val="00792C96"/>
    <w:rsid w:val="007930BA"/>
    <w:rsid w:val="007930FC"/>
    <w:rsid w:val="0079351A"/>
    <w:rsid w:val="0079379C"/>
    <w:rsid w:val="007942EA"/>
    <w:rsid w:val="00794F08"/>
    <w:rsid w:val="00794F8F"/>
    <w:rsid w:val="00794F9C"/>
    <w:rsid w:val="0079577C"/>
    <w:rsid w:val="007959BE"/>
    <w:rsid w:val="0079607D"/>
    <w:rsid w:val="007964E0"/>
    <w:rsid w:val="007966B5"/>
    <w:rsid w:val="007970F5"/>
    <w:rsid w:val="007971CD"/>
    <w:rsid w:val="00797496"/>
    <w:rsid w:val="007976FA"/>
    <w:rsid w:val="00797A20"/>
    <w:rsid w:val="00797EE1"/>
    <w:rsid w:val="007A00FB"/>
    <w:rsid w:val="007A06EC"/>
    <w:rsid w:val="007A09D7"/>
    <w:rsid w:val="007A1241"/>
    <w:rsid w:val="007A1383"/>
    <w:rsid w:val="007A14BD"/>
    <w:rsid w:val="007A16E0"/>
    <w:rsid w:val="007A19AD"/>
    <w:rsid w:val="007A1A13"/>
    <w:rsid w:val="007A1DE9"/>
    <w:rsid w:val="007A2690"/>
    <w:rsid w:val="007A2B3C"/>
    <w:rsid w:val="007A2CEE"/>
    <w:rsid w:val="007A3215"/>
    <w:rsid w:val="007A3318"/>
    <w:rsid w:val="007A36C0"/>
    <w:rsid w:val="007A4012"/>
    <w:rsid w:val="007A4062"/>
    <w:rsid w:val="007A43CC"/>
    <w:rsid w:val="007A43E3"/>
    <w:rsid w:val="007A4739"/>
    <w:rsid w:val="007A48A1"/>
    <w:rsid w:val="007A4AEE"/>
    <w:rsid w:val="007A504D"/>
    <w:rsid w:val="007A5097"/>
    <w:rsid w:val="007A5137"/>
    <w:rsid w:val="007A515C"/>
    <w:rsid w:val="007A53AA"/>
    <w:rsid w:val="007A5F1B"/>
    <w:rsid w:val="007A5FBA"/>
    <w:rsid w:val="007A64FA"/>
    <w:rsid w:val="007A6528"/>
    <w:rsid w:val="007A6641"/>
    <w:rsid w:val="007A76EA"/>
    <w:rsid w:val="007B0A12"/>
    <w:rsid w:val="007B0B99"/>
    <w:rsid w:val="007B0D01"/>
    <w:rsid w:val="007B135E"/>
    <w:rsid w:val="007B15C7"/>
    <w:rsid w:val="007B1D18"/>
    <w:rsid w:val="007B1D9E"/>
    <w:rsid w:val="007B1F39"/>
    <w:rsid w:val="007B2132"/>
    <w:rsid w:val="007B2D72"/>
    <w:rsid w:val="007B2E34"/>
    <w:rsid w:val="007B3441"/>
    <w:rsid w:val="007B3652"/>
    <w:rsid w:val="007B40A9"/>
    <w:rsid w:val="007B495B"/>
    <w:rsid w:val="007B5017"/>
    <w:rsid w:val="007B54D9"/>
    <w:rsid w:val="007B55E9"/>
    <w:rsid w:val="007B5B31"/>
    <w:rsid w:val="007B5C33"/>
    <w:rsid w:val="007B6894"/>
    <w:rsid w:val="007B69F5"/>
    <w:rsid w:val="007B6B88"/>
    <w:rsid w:val="007B6FEB"/>
    <w:rsid w:val="007B730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28B"/>
    <w:rsid w:val="007C32FB"/>
    <w:rsid w:val="007C3414"/>
    <w:rsid w:val="007C3B14"/>
    <w:rsid w:val="007C4215"/>
    <w:rsid w:val="007C4AAB"/>
    <w:rsid w:val="007C4B53"/>
    <w:rsid w:val="007C4B73"/>
    <w:rsid w:val="007C4BCC"/>
    <w:rsid w:val="007C58F9"/>
    <w:rsid w:val="007C5995"/>
    <w:rsid w:val="007C5EFC"/>
    <w:rsid w:val="007C6033"/>
    <w:rsid w:val="007C632E"/>
    <w:rsid w:val="007C6382"/>
    <w:rsid w:val="007C683C"/>
    <w:rsid w:val="007C6A2E"/>
    <w:rsid w:val="007C6FA9"/>
    <w:rsid w:val="007C71F8"/>
    <w:rsid w:val="007C74D4"/>
    <w:rsid w:val="007C7606"/>
    <w:rsid w:val="007D02A3"/>
    <w:rsid w:val="007D069C"/>
    <w:rsid w:val="007D0A2B"/>
    <w:rsid w:val="007D0F9C"/>
    <w:rsid w:val="007D12E6"/>
    <w:rsid w:val="007D150F"/>
    <w:rsid w:val="007D1B7B"/>
    <w:rsid w:val="007D1C6B"/>
    <w:rsid w:val="007D1F1D"/>
    <w:rsid w:val="007D233F"/>
    <w:rsid w:val="007D2505"/>
    <w:rsid w:val="007D2516"/>
    <w:rsid w:val="007D3047"/>
    <w:rsid w:val="007D3051"/>
    <w:rsid w:val="007D3461"/>
    <w:rsid w:val="007D3BC1"/>
    <w:rsid w:val="007D3D40"/>
    <w:rsid w:val="007D3F08"/>
    <w:rsid w:val="007D4074"/>
    <w:rsid w:val="007D4C15"/>
    <w:rsid w:val="007D4EA4"/>
    <w:rsid w:val="007D51CF"/>
    <w:rsid w:val="007D5704"/>
    <w:rsid w:val="007D5710"/>
    <w:rsid w:val="007D5986"/>
    <w:rsid w:val="007D59BB"/>
    <w:rsid w:val="007D5A92"/>
    <w:rsid w:val="007D5E54"/>
    <w:rsid w:val="007D60BF"/>
    <w:rsid w:val="007D6831"/>
    <w:rsid w:val="007D6DBA"/>
    <w:rsid w:val="007D6E4D"/>
    <w:rsid w:val="007D7418"/>
    <w:rsid w:val="007D759F"/>
    <w:rsid w:val="007D7984"/>
    <w:rsid w:val="007E0CEA"/>
    <w:rsid w:val="007E10AE"/>
    <w:rsid w:val="007E119D"/>
    <w:rsid w:val="007E156C"/>
    <w:rsid w:val="007E181A"/>
    <w:rsid w:val="007E1B02"/>
    <w:rsid w:val="007E1BE3"/>
    <w:rsid w:val="007E1CFD"/>
    <w:rsid w:val="007E27FB"/>
    <w:rsid w:val="007E2B83"/>
    <w:rsid w:val="007E2C31"/>
    <w:rsid w:val="007E2FCD"/>
    <w:rsid w:val="007E3046"/>
    <w:rsid w:val="007E3300"/>
    <w:rsid w:val="007E35A7"/>
    <w:rsid w:val="007E37DC"/>
    <w:rsid w:val="007E3CA6"/>
    <w:rsid w:val="007E411C"/>
    <w:rsid w:val="007E4668"/>
    <w:rsid w:val="007E49DD"/>
    <w:rsid w:val="007E52A0"/>
    <w:rsid w:val="007E532B"/>
    <w:rsid w:val="007E5975"/>
    <w:rsid w:val="007E5AAC"/>
    <w:rsid w:val="007E5B83"/>
    <w:rsid w:val="007E5C09"/>
    <w:rsid w:val="007E5F83"/>
    <w:rsid w:val="007E6189"/>
    <w:rsid w:val="007E62D4"/>
    <w:rsid w:val="007E6502"/>
    <w:rsid w:val="007E6D86"/>
    <w:rsid w:val="007E6FB9"/>
    <w:rsid w:val="007E76C2"/>
    <w:rsid w:val="007E791B"/>
    <w:rsid w:val="007E7B0D"/>
    <w:rsid w:val="007E7B76"/>
    <w:rsid w:val="007E7B85"/>
    <w:rsid w:val="007F05C3"/>
    <w:rsid w:val="007F0E1E"/>
    <w:rsid w:val="007F0EEE"/>
    <w:rsid w:val="007F12C6"/>
    <w:rsid w:val="007F1890"/>
    <w:rsid w:val="007F1C7D"/>
    <w:rsid w:val="007F1FE6"/>
    <w:rsid w:val="007F2A9C"/>
    <w:rsid w:val="007F2C6D"/>
    <w:rsid w:val="007F2CF2"/>
    <w:rsid w:val="007F2F33"/>
    <w:rsid w:val="007F3AB5"/>
    <w:rsid w:val="007F3AD2"/>
    <w:rsid w:val="007F3D68"/>
    <w:rsid w:val="007F468B"/>
    <w:rsid w:val="007F46DD"/>
    <w:rsid w:val="007F4842"/>
    <w:rsid w:val="007F4964"/>
    <w:rsid w:val="007F4E3E"/>
    <w:rsid w:val="007F5003"/>
    <w:rsid w:val="007F5125"/>
    <w:rsid w:val="007F5D5C"/>
    <w:rsid w:val="007F5E10"/>
    <w:rsid w:val="007F6282"/>
    <w:rsid w:val="007F62EA"/>
    <w:rsid w:val="007F684A"/>
    <w:rsid w:val="007F702C"/>
    <w:rsid w:val="007F7845"/>
    <w:rsid w:val="007F7C23"/>
    <w:rsid w:val="007F7C99"/>
    <w:rsid w:val="008000AB"/>
    <w:rsid w:val="008002F0"/>
    <w:rsid w:val="00800346"/>
    <w:rsid w:val="00800826"/>
    <w:rsid w:val="00800C4F"/>
    <w:rsid w:val="008014BD"/>
    <w:rsid w:val="0080168B"/>
    <w:rsid w:val="00801805"/>
    <w:rsid w:val="0080184F"/>
    <w:rsid w:val="00801A0D"/>
    <w:rsid w:val="00801CA1"/>
    <w:rsid w:val="00801DE9"/>
    <w:rsid w:val="00801E17"/>
    <w:rsid w:val="00801F03"/>
    <w:rsid w:val="008021F0"/>
    <w:rsid w:val="008028AC"/>
    <w:rsid w:val="00802B4A"/>
    <w:rsid w:val="00802D29"/>
    <w:rsid w:val="00802DDD"/>
    <w:rsid w:val="00803723"/>
    <w:rsid w:val="0080379E"/>
    <w:rsid w:val="00803972"/>
    <w:rsid w:val="00804FE9"/>
    <w:rsid w:val="0080518A"/>
    <w:rsid w:val="00805430"/>
    <w:rsid w:val="00805A48"/>
    <w:rsid w:val="00805CA4"/>
    <w:rsid w:val="00807311"/>
    <w:rsid w:val="00807813"/>
    <w:rsid w:val="00807D4E"/>
    <w:rsid w:val="00807D75"/>
    <w:rsid w:val="00807F45"/>
    <w:rsid w:val="00810192"/>
    <w:rsid w:val="00810248"/>
    <w:rsid w:val="008103D3"/>
    <w:rsid w:val="00811023"/>
    <w:rsid w:val="00811251"/>
    <w:rsid w:val="008113F6"/>
    <w:rsid w:val="00811548"/>
    <w:rsid w:val="008119AC"/>
    <w:rsid w:val="00811D19"/>
    <w:rsid w:val="00811FEE"/>
    <w:rsid w:val="008121C4"/>
    <w:rsid w:val="008126DD"/>
    <w:rsid w:val="0081274C"/>
    <w:rsid w:val="00812980"/>
    <w:rsid w:val="0081359C"/>
    <w:rsid w:val="008138EA"/>
    <w:rsid w:val="00813D74"/>
    <w:rsid w:val="00813FEE"/>
    <w:rsid w:val="00814146"/>
    <w:rsid w:val="008143A3"/>
    <w:rsid w:val="008144A9"/>
    <w:rsid w:val="0081531F"/>
    <w:rsid w:val="008156DF"/>
    <w:rsid w:val="00815752"/>
    <w:rsid w:val="00815A3A"/>
    <w:rsid w:val="00815F1A"/>
    <w:rsid w:val="008161FE"/>
    <w:rsid w:val="00816435"/>
    <w:rsid w:val="00816505"/>
    <w:rsid w:val="00816513"/>
    <w:rsid w:val="00816D4B"/>
    <w:rsid w:val="0081707D"/>
    <w:rsid w:val="008172C0"/>
    <w:rsid w:val="00817608"/>
    <w:rsid w:val="00817625"/>
    <w:rsid w:val="0081779A"/>
    <w:rsid w:val="008178F9"/>
    <w:rsid w:val="00817B78"/>
    <w:rsid w:val="00817E34"/>
    <w:rsid w:val="00817EE9"/>
    <w:rsid w:val="00820983"/>
    <w:rsid w:val="00820C50"/>
    <w:rsid w:val="00820C8C"/>
    <w:rsid w:val="00821310"/>
    <w:rsid w:val="008214E6"/>
    <w:rsid w:val="008215F7"/>
    <w:rsid w:val="00821D34"/>
    <w:rsid w:val="00821D99"/>
    <w:rsid w:val="00822512"/>
    <w:rsid w:val="0082263C"/>
    <w:rsid w:val="00822799"/>
    <w:rsid w:val="0082290E"/>
    <w:rsid w:val="00822960"/>
    <w:rsid w:val="00822CB5"/>
    <w:rsid w:val="0082355B"/>
    <w:rsid w:val="00823592"/>
    <w:rsid w:val="00823A55"/>
    <w:rsid w:val="008241AD"/>
    <w:rsid w:val="0082453B"/>
    <w:rsid w:val="00824C34"/>
    <w:rsid w:val="0082598F"/>
    <w:rsid w:val="00825A5F"/>
    <w:rsid w:val="0082657F"/>
    <w:rsid w:val="00826B2F"/>
    <w:rsid w:val="00826DB7"/>
    <w:rsid w:val="008277AC"/>
    <w:rsid w:val="0082795C"/>
    <w:rsid w:val="00827972"/>
    <w:rsid w:val="00827E94"/>
    <w:rsid w:val="00827FDA"/>
    <w:rsid w:val="008303C0"/>
    <w:rsid w:val="00830C5C"/>
    <w:rsid w:val="00830F5B"/>
    <w:rsid w:val="00831AEB"/>
    <w:rsid w:val="00831D81"/>
    <w:rsid w:val="008321D4"/>
    <w:rsid w:val="0083238D"/>
    <w:rsid w:val="00832575"/>
    <w:rsid w:val="0083292F"/>
    <w:rsid w:val="008332A1"/>
    <w:rsid w:val="008332ED"/>
    <w:rsid w:val="008340B2"/>
    <w:rsid w:val="00834536"/>
    <w:rsid w:val="0083494D"/>
    <w:rsid w:val="0083519E"/>
    <w:rsid w:val="008354D9"/>
    <w:rsid w:val="0083554A"/>
    <w:rsid w:val="008357E1"/>
    <w:rsid w:val="00835863"/>
    <w:rsid w:val="008359E5"/>
    <w:rsid w:val="00835D5A"/>
    <w:rsid w:val="0083604F"/>
    <w:rsid w:val="0083617E"/>
    <w:rsid w:val="00836467"/>
    <w:rsid w:val="00836673"/>
    <w:rsid w:val="00836786"/>
    <w:rsid w:val="008367BF"/>
    <w:rsid w:val="00836F63"/>
    <w:rsid w:val="0083707F"/>
    <w:rsid w:val="00837133"/>
    <w:rsid w:val="008371C3"/>
    <w:rsid w:val="0083765C"/>
    <w:rsid w:val="008379A0"/>
    <w:rsid w:val="00837B8A"/>
    <w:rsid w:val="00837C5B"/>
    <w:rsid w:val="00837F6D"/>
    <w:rsid w:val="00840101"/>
    <w:rsid w:val="008404EF"/>
    <w:rsid w:val="00840835"/>
    <w:rsid w:val="008409B8"/>
    <w:rsid w:val="008409BE"/>
    <w:rsid w:val="00840D8B"/>
    <w:rsid w:val="00840F71"/>
    <w:rsid w:val="00840F8B"/>
    <w:rsid w:val="00841173"/>
    <w:rsid w:val="0084129E"/>
    <w:rsid w:val="008414DC"/>
    <w:rsid w:val="0084180D"/>
    <w:rsid w:val="00841A56"/>
    <w:rsid w:val="00841D3D"/>
    <w:rsid w:val="00841E2D"/>
    <w:rsid w:val="008423F5"/>
    <w:rsid w:val="00842B15"/>
    <w:rsid w:val="00842CB7"/>
    <w:rsid w:val="00842E3D"/>
    <w:rsid w:val="00842F26"/>
    <w:rsid w:val="00843480"/>
    <w:rsid w:val="00843B44"/>
    <w:rsid w:val="00844059"/>
    <w:rsid w:val="00844166"/>
    <w:rsid w:val="0084424E"/>
    <w:rsid w:val="00844FAC"/>
    <w:rsid w:val="0084547E"/>
    <w:rsid w:val="008458F7"/>
    <w:rsid w:val="00845AEE"/>
    <w:rsid w:val="008464A9"/>
    <w:rsid w:val="00846821"/>
    <w:rsid w:val="00846866"/>
    <w:rsid w:val="008469D1"/>
    <w:rsid w:val="00846CB0"/>
    <w:rsid w:val="008472F0"/>
    <w:rsid w:val="008475B1"/>
    <w:rsid w:val="008476B3"/>
    <w:rsid w:val="00847AAD"/>
    <w:rsid w:val="00847B2E"/>
    <w:rsid w:val="00847B4B"/>
    <w:rsid w:val="00847D28"/>
    <w:rsid w:val="00847F5A"/>
    <w:rsid w:val="00850952"/>
    <w:rsid w:val="00850F3C"/>
    <w:rsid w:val="008517C0"/>
    <w:rsid w:val="008523E5"/>
    <w:rsid w:val="0085243F"/>
    <w:rsid w:val="00852939"/>
    <w:rsid w:val="00852D39"/>
    <w:rsid w:val="00852D8A"/>
    <w:rsid w:val="00853968"/>
    <w:rsid w:val="00853E31"/>
    <w:rsid w:val="008541F8"/>
    <w:rsid w:val="008541F9"/>
    <w:rsid w:val="008545A9"/>
    <w:rsid w:val="00855405"/>
    <w:rsid w:val="00855448"/>
    <w:rsid w:val="008554E1"/>
    <w:rsid w:val="00855E5B"/>
    <w:rsid w:val="008565C6"/>
    <w:rsid w:val="008565D2"/>
    <w:rsid w:val="00856685"/>
    <w:rsid w:val="008566DA"/>
    <w:rsid w:val="00857096"/>
    <w:rsid w:val="00857171"/>
    <w:rsid w:val="0085736A"/>
    <w:rsid w:val="00857573"/>
    <w:rsid w:val="00857B52"/>
    <w:rsid w:val="008602D3"/>
    <w:rsid w:val="0086052C"/>
    <w:rsid w:val="00860D13"/>
    <w:rsid w:val="00860DDA"/>
    <w:rsid w:val="008615ED"/>
    <w:rsid w:val="00861C04"/>
    <w:rsid w:val="00861D60"/>
    <w:rsid w:val="0086207F"/>
    <w:rsid w:val="0086225D"/>
    <w:rsid w:val="008624CC"/>
    <w:rsid w:val="0086250C"/>
    <w:rsid w:val="0086271A"/>
    <w:rsid w:val="00862E29"/>
    <w:rsid w:val="008634BA"/>
    <w:rsid w:val="008634C3"/>
    <w:rsid w:val="008638ED"/>
    <w:rsid w:val="008642C5"/>
    <w:rsid w:val="008644D9"/>
    <w:rsid w:val="0086464A"/>
    <w:rsid w:val="008647FE"/>
    <w:rsid w:val="00864C42"/>
    <w:rsid w:val="00864CD7"/>
    <w:rsid w:val="00864E84"/>
    <w:rsid w:val="008656AB"/>
    <w:rsid w:val="00865937"/>
    <w:rsid w:val="008662E0"/>
    <w:rsid w:val="008663B5"/>
    <w:rsid w:val="008666B7"/>
    <w:rsid w:val="008670E4"/>
    <w:rsid w:val="008672FD"/>
    <w:rsid w:val="00867516"/>
    <w:rsid w:val="0086760C"/>
    <w:rsid w:val="008677AB"/>
    <w:rsid w:val="008679F8"/>
    <w:rsid w:val="00867A1A"/>
    <w:rsid w:val="00867DC9"/>
    <w:rsid w:val="00870507"/>
    <w:rsid w:val="008709D0"/>
    <w:rsid w:val="00871269"/>
    <w:rsid w:val="00871614"/>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511A"/>
    <w:rsid w:val="00875F94"/>
    <w:rsid w:val="00876250"/>
    <w:rsid w:val="00876752"/>
    <w:rsid w:val="00876A64"/>
    <w:rsid w:val="00876AD7"/>
    <w:rsid w:val="008773E3"/>
    <w:rsid w:val="0087757C"/>
    <w:rsid w:val="0087763E"/>
    <w:rsid w:val="00877650"/>
    <w:rsid w:val="00880125"/>
    <w:rsid w:val="008807D1"/>
    <w:rsid w:val="008809C3"/>
    <w:rsid w:val="00880D35"/>
    <w:rsid w:val="0088130A"/>
    <w:rsid w:val="00881B4A"/>
    <w:rsid w:val="00881F44"/>
    <w:rsid w:val="00882106"/>
    <w:rsid w:val="00882408"/>
    <w:rsid w:val="0088263C"/>
    <w:rsid w:val="00882CB9"/>
    <w:rsid w:val="00882E64"/>
    <w:rsid w:val="00883025"/>
    <w:rsid w:val="00883122"/>
    <w:rsid w:val="0088393A"/>
    <w:rsid w:val="00883C72"/>
    <w:rsid w:val="008847CD"/>
    <w:rsid w:val="00884E78"/>
    <w:rsid w:val="00885BDE"/>
    <w:rsid w:val="00885C77"/>
    <w:rsid w:val="00885D74"/>
    <w:rsid w:val="00885E20"/>
    <w:rsid w:val="0088758B"/>
    <w:rsid w:val="008875AA"/>
    <w:rsid w:val="00887E30"/>
    <w:rsid w:val="00890368"/>
    <w:rsid w:val="008906BC"/>
    <w:rsid w:val="00890BF6"/>
    <w:rsid w:val="00890CB5"/>
    <w:rsid w:val="00890CC1"/>
    <w:rsid w:val="00890EB9"/>
    <w:rsid w:val="00890FCC"/>
    <w:rsid w:val="00891870"/>
    <w:rsid w:val="0089194B"/>
    <w:rsid w:val="00892D99"/>
    <w:rsid w:val="00892F90"/>
    <w:rsid w:val="00892FDA"/>
    <w:rsid w:val="008931FC"/>
    <w:rsid w:val="0089327B"/>
    <w:rsid w:val="00893B91"/>
    <w:rsid w:val="00894A2C"/>
    <w:rsid w:val="00894A64"/>
    <w:rsid w:val="00895475"/>
    <w:rsid w:val="00895E4F"/>
    <w:rsid w:val="00897359"/>
    <w:rsid w:val="00897E92"/>
    <w:rsid w:val="00897F09"/>
    <w:rsid w:val="00897F0B"/>
    <w:rsid w:val="00897F1F"/>
    <w:rsid w:val="008A0232"/>
    <w:rsid w:val="008A023A"/>
    <w:rsid w:val="008A03C9"/>
    <w:rsid w:val="008A0D2D"/>
    <w:rsid w:val="008A15F0"/>
    <w:rsid w:val="008A1986"/>
    <w:rsid w:val="008A1AC9"/>
    <w:rsid w:val="008A2170"/>
    <w:rsid w:val="008A224C"/>
    <w:rsid w:val="008A2536"/>
    <w:rsid w:val="008A2778"/>
    <w:rsid w:val="008A2C3D"/>
    <w:rsid w:val="008A2F44"/>
    <w:rsid w:val="008A354E"/>
    <w:rsid w:val="008A37C2"/>
    <w:rsid w:val="008A414D"/>
    <w:rsid w:val="008A483B"/>
    <w:rsid w:val="008A4913"/>
    <w:rsid w:val="008A5114"/>
    <w:rsid w:val="008A51F4"/>
    <w:rsid w:val="008A57A6"/>
    <w:rsid w:val="008A5A37"/>
    <w:rsid w:val="008A5A8F"/>
    <w:rsid w:val="008A5C8C"/>
    <w:rsid w:val="008A5E57"/>
    <w:rsid w:val="008A60C9"/>
    <w:rsid w:val="008A618D"/>
    <w:rsid w:val="008A63F6"/>
    <w:rsid w:val="008A64D1"/>
    <w:rsid w:val="008A6E70"/>
    <w:rsid w:val="008A6FB5"/>
    <w:rsid w:val="008A721A"/>
    <w:rsid w:val="008A761B"/>
    <w:rsid w:val="008A7714"/>
    <w:rsid w:val="008B039C"/>
    <w:rsid w:val="008B062F"/>
    <w:rsid w:val="008B0751"/>
    <w:rsid w:val="008B0875"/>
    <w:rsid w:val="008B0DE5"/>
    <w:rsid w:val="008B0E65"/>
    <w:rsid w:val="008B0F4D"/>
    <w:rsid w:val="008B1423"/>
    <w:rsid w:val="008B151D"/>
    <w:rsid w:val="008B22AA"/>
    <w:rsid w:val="008B2478"/>
    <w:rsid w:val="008B2569"/>
    <w:rsid w:val="008B2654"/>
    <w:rsid w:val="008B26D0"/>
    <w:rsid w:val="008B2A5A"/>
    <w:rsid w:val="008B352F"/>
    <w:rsid w:val="008B382D"/>
    <w:rsid w:val="008B3890"/>
    <w:rsid w:val="008B523D"/>
    <w:rsid w:val="008B5416"/>
    <w:rsid w:val="008B5818"/>
    <w:rsid w:val="008B5A68"/>
    <w:rsid w:val="008B5D37"/>
    <w:rsid w:val="008B615B"/>
    <w:rsid w:val="008B63E2"/>
    <w:rsid w:val="008B6414"/>
    <w:rsid w:val="008B6BDE"/>
    <w:rsid w:val="008B6C37"/>
    <w:rsid w:val="008B72EE"/>
    <w:rsid w:val="008B7867"/>
    <w:rsid w:val="008B7940"/>
    <w:rsid w:val="008B7B1E"/>
    <w:rsid w:val="008C1D34"/>
    <w:rsid w:val="008C1F8B"/>
    <w:rsid w:val="008C20D7"/>
    <w:rsid w:val="008C2303"/>
    <w:rsid w:val="008C26D9"/>
    <w:rsid w:val="008C2A5D"/>
    <w:rsid w:val="008C3442"/>
    <w:rsid w:val="008C3ADA"/>
    <w:rsid w:val="008C40A3"/>
    <w:rsid w:val="008C434A"/>
    <w:rsid w:val="008C4722"/>
    <w:rsid w:val="008C49CD"/>
    <w:rsid w:val="008C4DCC"/>
    <w:rsid w:val="008C4FE8"/>
    <w:rsid w:val="008C5062"/>
    <w:rsid w:val="008C5D79"/>
    <w:rsid w:val="008C5DC5"/>
    <w:rsid w:val="008C60E9"/>
    <w:rsid w:val="008C6C00"/>
    <w:rsid w:val="008C7226"/>
    <w:rsid w:val="008C74E3"/>
    <w:rsid w:val="008C7855"/>
    <w:rsid w:val="008C7A9E"/>
    <w:rsid w:val="008C7F3E"/>
    <w:rsid w:val="008D0A27"/>
    <w:rsid w:val="008D0BEE"/>
    <w:rsid w:val="008D0D0B"/>
    <w:rsid w:val="008D0EA5"/>
    <w:rsid w:val="008D3A61"/>
    <w:rsid w:val="008D3F4C"/>
    <w:rsid w:val="008D3FBE"/>
    <w:rsid w:val="008D4CEC"/>
    <w:rsid w:val="008D5B26"/>
    <w:rsid w:val="008D5E69"/>
    <w:rsid w:val="008D6068"/>
    <w:rsid w:val="008D60F7"/>
    <w:rsid w:val="008D61B4"/>
    <w:rsid w:val="008D6360"/>
    <w:rsid w:val="008D6497"/>
    <w:rsid w:val="008D6D8B"/>
    <w:rsid w:val="008D7143"/>
    <w:rsid w:val="008D7402"/>
    <w:rsid w:val="008D7549"/>
    <w:rsid w:val="008D7D8A"/>
    <w:rsid w:val="008D7DA6"/>
    <w:rsid w:val="008E0457"/>
    <w:rsid w:val="008E04EA"/>
    <w:rsid w:val="008E08F7"/>
    <w:rsid w:val="008E177D"/>
    <w:rsid w:val="008E1BCA"/>
    <w:rsid w:val="008E1D0C"/>
    <w:rsid w:val="008E2004"/>
    <w:rsid w:val="008E2468"/>
    <w:rsid w:val="008E2969"/>
    <w:rsid w:val="008E2B53"/>
    <w:rsid w:val="008E397B"/>
    <w:rsid w:val="008E3D07"/>
    <w:rsid w:val="008E40E5"/>
    <w:rsid w:val="008E45FE"/>
    <w:rsid w:val="008E4793"/>
    <w:rsid w:val="008E4E34"/>
    <w:rsid w:val="008E4FB3"/>
    <w:rsid w:val="008E5005"/>
    <w:rsid w:val="008E50DB"/>
    <w:rsid w:val="008E514C"/>
    <w:rsid w:val="008E5342"/>
    <w:rsid w:val="008E53F4"/>
    <w:rsid w:val="008E551D"/>
    <w:rsid w:val="008E55E1"/>
    <w:rsid w:val="008E5771"/>
    <w:rsid w:val="008E5779"/>
    <w:rsid w:val="008E5C1C"/>
    <w:rsid w:val="008E5E03"/>
    <w:rsid w:val="008E5ED8"/>
    <w:rsid w:val="008E610D"/>
    <w:rsid w:val="008E629A"/>
    <w:rsid w:val="008E667E"/>
    <w:rsid w:val="008E67C5"/>
    <w:rsid w:val="008E6953"/>
    <w:rsid w:val="008E6F36"/>
    <w:rsid w:val="008E7115"/>
    <w:rsid w:val="008E724B"/>
    <w:rsid w:val="008E795A"/>
    <w:rsid w:val="008E7EA2"/>
    <w:rsid w:val="008F0084"/>
    <w:rsid w:val="008F0607"/>
    <w:rsid w:val="008F0C83"/>
    <w:rsid w:val="008F1274"/>
    <w:rsid w:val="008F15B0"/>
    <w:rsid w:val="008F162B"/>
    <w:rsid w:val="008F16FA"/>
    <w:rsid w:val="008F201E"/>
    <w:rsid w:val="008F2364"/>
    <w:rsid w:val="008F27FC"/>
    <w:rsid w:val="008F29AD"/>
    <w:rsid w:val="008F2CA6"/>
    <w:rsid w:val="008F3129"/>
    <w:rsid w:val="008F3200"/>
    <w:rsid w:val="008F33E9"/>
    <w:rsid w:val="008F4410"/>
    <w:rsid w:val="008F4676"/>
    <w:rsid w:val="008F4CAB"/>
    <w:rsid w:val="008F4DA1"/>
    <w:rsid w:val="008F516C"/>
    <w:rsid w:val="008F55B0"/>
    <w:rsid w:val="008F5709"/>
    <w:rsid w:val="008F5938"/>
    <w:rsid w:val="008F5B82"/>
    <w:rsid w:val="008F67FA"/>
    <w:rsid w:val="008F6BD5"/>
    <w:rsid w:val="008F6E89"/>
    <w:rsid w:val="008F6EED"/>
    <w:rsid w:val="008F6FC3"/>
    <w:rsid w:val="008F7216"/>
    <w:rsid w:val="008F723F"/>
    <w:rsid w:val="008F7568"/>
    <w:rsid w:val="008F7610"/>
    <w:rsid w:val="008F77B9"/>
    <w:rsid w:val="008F7908"/>
    <w:rsid w:val="0090000B"/>
    <w:rsid w:val="00900424"/>
    <w:rsid w:val="00900895"/>
    <w:rsid w:val="009009D9"/>
    <w:rsid w:val="00900BDA"/>
    <w:rsid w:val="00900E9B"/>
    <w:rsid w:val="00900F9B"/>
    <w:rsid w:val="00900FAB"/>
    <w:rsid w:val="00901306"/>
    <w:rsid w:val="00901327"/>
    <w:rsid w:val="009014CF"/>
    <w:rsid w:val="00901567"/>
    <w:rsid w:val="0090164E"/>
    <w:rsid w:val="00901A25"/>
    <w:rsid w:val="00901AFD"/>
    <w:rsid w:val="00901FB2"/>
    <w:rsid w:val="00902055"/>
    <w:rsid w:val="00902935"/>
    <w:rsid w:val="009029FD"/>
    <w:rsid w:val="00903038"/>
    <w:rsid w:val="009031C3"/>
    <w:rsid w:val="00903571"/>
    <w:rsid w:val="0090373F"/>
    <w:rsid w:val="0090374A"/>
    <w:rsid w:val="00903D83"/>
    <w:rsid w:val="00903F1F"/>
    <w:rsid w:val="009040C4"/>
    <w:rsid w:val="0090413A"/>
    <w:rsid w:val="00904188"/>
    <w:rsid w:val="00904537"/>
    <w:rsid w:val="0090483A"/>
    <w:rsid w:val="00904982"/>
    <w:rsid w:val="009057D4"/>
    <w:rsid w:val="00905838"/>
    <w:rsid w:val="00905846"/>
    <w:rsid w:val="00905B06"/>
    <w:rsid w:val="009064EB"/>
    <w:rsid w:val="009066D1"/>
    <w:rsid w:val="00906DD6"/>
    <w:rsid w:val="00906FC6"/>
    <w:rsid w:val="00907067"/>
    <w:rsid w:val="00907144"/>
    <w:rsid w:val="00907678"/>
    <w:rsid w:val="00907853"/>
    <w:rsid w:val="009105CB"/>
    <w:rsid w:val="00910EA9"/>
    <w:rsid w:val="0091147B"/>
    <w:rsid w:val="0091194C"/>
    <w:rsid w:val="00911A48"/>
    <w:rsid w:val="0091245C"/>
    <w:rsid w:val="009131D2"/>
    <w:rsid w:val="009135AF"/>
    <w:rsid w:val="0091361D"/>
    <w:rsid w:val="00913D93"/>
    <w:rsid w:val="009140D0"/>
    <w:rsid w:val="00914549"/>
    <w:rsid w:val="009147BA"/>
    <w:rsid w:val="00914AD9"/>
    <w:rsid w:val="0091592C"/>
    <w:rsid w:val="00915944"/>
    <w:rsid w:val="00916288"/>
    <w:rsid w:val="00916561"/>
    <w:rsid w:val="00916621"/>
    <w:rsid w:val="00916673"/>
    <w:rsid w:val="0091698A"/>
    <w:rsid w:val="00916CB1"/>
    <w:rsid w:val="00916FD4"/>
    <w:rsid w:val="00917279"/>
    <w:rsid w:val="00917949"/>
    <w:rsid w:val="009204CF"/>
    <w:rsid w:val="0092096E"/>
    <w:rsid w:val="00920AE6"/>
    <w:rsid w:val="00920C73"/>
    <w:rsid w:val="00920D59"/>
    <w:rsid w:val="009220AE"/>
    <w:rsid w:val="00922486"/>
    <w:rsid w:val="009226CC"/>
    <w:rsid w:val="0092291A"/>
    <w:rsid w:val="00922950"/>
    <w:rsid w:val="00923073"/>
    <w:rsid w:val="0092317B"/>
    <w:rsid w:val="00923475"/>
    <w:rsid w:val="00923524"/>
    <w:rsid w:val="0092376F"/>
    <w:rsid w:val="00923B80"/>
    <w:rsid w:val="00923D41"/>
    <w:rsid w:val="009241CD"/>
    <w:rsid w:val="009242C2"/>
    <w:rsid w:val="009242C3"/>
    <w:rsid w:val="009244A3"/>
    <w:rsid w:val="00924CD8"/>
    <w:rsid w:val="00924E87"/>
    <w:rsid w:val="00925B72"/>
    <w:rsid w:val="00925DB0"/>
    <w:rsid w:val="00926278"/>
    <w:rsid w:val="0092639A"/>
    <w:rsid w:val="00926EF4"/>
    <w:rsid w:val="00927519"/>
    <w:rsid w:val="0092780E"/>
    <w:rsid w:val="00927E24"/>
    <w:rsid w:val="00930751"/>
    <w:rsid w:val="00930C1A"/>
    <w:rsid w:val="009316E4"/>
    <w:rsid w:val="00931EBE"/>
    <w:rsid w:val="0093248B"/>
    <w:rsid w:val="0093301F"/>
    <w:rsid w:val="0093315B"/>
    <w:rsid w:val="00934157"/>
    <w:rsid w:val="00934669"/>
    <w:rsid w:val="009349E5"/>
    <w:rsid w:val="0093512F"/>
    <w:rsid w:val="009356C6"/>
    <w:rsid w:val="00935A13"/>
    <w:rsid w:val="00935BA9"/>
    <w:rsid w:val="00935C65"/>
    <w:rsid w:val="00935EB4"/>
    <w:rsid w:val="00935F6C"/>
    <w:rsid w:val="00936088"/>
    <w:rsid w:val="009365B7"/>
    <w:rsid w:val="00936895"/>
    <w:rsid w:val="00936C24"/>
    <w:rsid w:val="00936D5A"/>
    <w:rsid w:val="009372DD"/>
    <w:rsid w:val="00937415"/>
    <w:rsid w:val="009375C2"/>
    <w:rsid w:val="0093767B"/>
    <w:rsid w:val="009376CD"/>
    <w:rsid w:val="009377B1"/>
    <w:rsid w:val="00937872"/>
    <w:rsid w:val="00937942"/>
    <w:rsid w:val="0094009F"/>
    <w:rsid w:val="009406F3"/>
    <w:rsid w:val="009409A9"/>
    <w:rsid w:val="00940C46"/>
    <w:rsid w:val="00940D26"/>
    <w:rsid w:val="0094103E"/>
    <w:rsid w:val="00941447"/>
    <w:rsid w:val="00941448"/>
    <w:rsid w:val="00941C04"/>
    <w:rsid w:val="00941C7E"/>
    <w:rsid w:val="0094209E"/>
    <w:rsid w:val="0094228C"/>
    <w:rsid w:val="00942458"/>
    <w:rsid w:val="009425C3"/>
    <w:rsid w:val="0094270C"/>
    <w:rsid w:val="00942723"/>
    <w:rsid w:val="00942794"/>
    <w:rsid w:val="00943101"/>
    <w:rsid w:val="00943588"/>
    <w:rsid w:val="00943CBA"/>
    <w:rsid w:val="00943E0C"/>
    <w:rsid w:val="0094440B"/>
    <w:rsid w:val="009450FE"/>
    <w:rsid w:val="009451BF"/>
    <w:rsid w:val="00945A15"/>
    <w:rsid w:val="00945E43"/>
    <w:rsid w:val="00945F83"/>
    <w:rsid w:val="0094697D"/>
    <w:rsid w:val="00947180"/>
    <w:rsid w:val="009472D3"/>
    <w:rsid w:val="009472ED"/>
    <w:rsid w:val="00947B1F"/>
    <w:rsid w:val="00950022"/>
    <w:rsid w:val="00950689"/>
    <w:rsid w:val="0095071A"/>
    <w:rsid w:val="00950C20"/>
    <w:rsid w:val="00950F0C"/>
    <w:rsid w:val="0095102F"/>
    <w:rsid w:val="00951B0B"/>
    <w:rsid w:val="00952BFE"/>
    <w:rsid w:val="00952EB1"/>
    <w:rsid w:val="009531AA"/>
    <w:rsid w:val="009532EE"/>
    <w:rsid w:val="0095368A"/>
    <w:rsid w:val="009538F6"/>
    <w:rsid w:val="00953A05"/>
    <w:rsid w:val="00953A59"/>
    <w:rsid w:val="009545CA"/>
    <w:rsid w:val="0095462C"/>
    <w:rsid w:val="0095488D"/>
    <w:rsid w:val="00954D9D"/>
    <w:rsid w:val="00954DF6"/>
    <w:rsid w:val="00954E83"/>
    <w:rsid w:val="0095536A"/>
    <w:rsid w:val="0095590C"/>
    <w:rsid w:val="00955C2B"/>
    <w:rsid w:val="00955D61"/>
    <w:rsid w:val="00955FDC"/>
    <w:rsid w:val="00956096"/>
    <w:rsid w:val="0095656E"/>
    <w:rsid w:val="009565BB"/>
    <w:rsid w:val="0095691A"/>
    <w:rsid w:val="009575D5"/>
    <w:rsid w:val="00957EFD"/>
    <w:rsid w:val="00960D7D"/>
    <w:rsid w:val="0096108D"/>
    <w:rsid w:val="0096172D"/>
    <w:rsid w:val="00961827"/>
    <w:rsid w:val="0096196E"/>
    <w:rsid w:val="0096295F"/>
    <w:rsid w:val="00962BF4"/>
    <w:rsid w:val="00962CBD"/>
    <w:rsid w:val="00962F4B"/>
    <w:rsid w:val="00963490"/>
    <w:rsid w:val="009634E2"/>
    <w:rsid w:val="0096381E"/>
    <w:rsid w:val="00963978"/>
    <w:rsid w:val="00963A6D"/>
    <w:rsid w:val="00963C2A"/>
    <w:rsid w:val="009646C2"/>
    <w:rsid w:val="00964709"/>
    <w:rsid w:val="00964A78"/>
    <w:rsid w:val="00964B59"/>
    <w:rsid w:val="00965010"/>
    <w:rsid w:val="00965469"/>
    <w:rsid w:val="009654F2"/>
    <w:rsid w:val="00965B70"/>
    <w:rsid w:val="00965D5F"/>
    <w:rsid w:val="00965DBB"/>
    <w:rsid w:val="00965F36"/>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63D"/>
    <w:rsid w:val="00970718"/>
    <w:rsid w:val="00971042"/>
    <w:rsid w:val="00971298"/>
    <w:rsid w:val="00971B09"/>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FC2"/>
    <w:rsid w:val="00977744"/>
    <w:rsid w:val="00977882"/>
    <w:rsid w:val="00977A69"/>
    <w:rsid w:val="00977C0E"/>
    <w:rsid w:val="00977C90"/>
    <w:rsid w:val="00977D60"/>
    <w:rsid w:val="00980BEF"/>
    <w:rsid w:val="009817BB"/>
    <w:rsid w:val="0098188E"/>
    <w:rsid w:val="009818B1"/>
    <w:rsid w:val="00981924"/>
    <w:rsid w:val="00981BEB"/>
    <w:rsid w:val="00981C8E"/>
    <w:rsid w:val="00981DAE"/>
    <w:rsid w:val="00981FBE"/>
    <w:rsid w:val="00981FF0"/>
    <w:rsid w:val="00982002"/>
    <w:rsid w:val="009822B4"/>
    <w:rsid w:val="00982EEB"/>
    <w:rsid w:val="00983910"/>
    <w:rsid w:val="00984333"/>
    <w:rsid w:val="0098436D"/>
    <w:rsid w:val="00984637"/>
    <w:rsid w:val="009849B6"/>
    <w:rsid w:val="00985834"/>
    <w:rsid w:val="009863C8"/>
    <w:rsid w:val="009874EE"/>
    <w:rsid w:val="00987779"/>
    <w:rsid w:val="009877FD"/>
    <w:rsid w:val="00987C05"/>
    <w:rsid w:val="00987C70"/>
    <w:rsid w:val="00987DAE"/>
    <w:rsid w:val="00987FDE"/>
    <w:rsid w:val="009904E3"/>
    <w:rsid w:val="00990758"/>
    <w:rsid w:val="0099097B"/>
    <w:rsid w:val="00990BC7"/>
    <w:rsid w:val="00990E1F"/>
    <w:rsid w:val="009910D9"/>
    <w:rsid w:val="00991210"/>
    <w:rsid w:val="00991B32"/>
    <w:rsid w:val="00991DDF"/>
    <w:rsid w:val="00991F17"/>
    <w:rsid w:val="0099231A"/>
    <w:rsid w:val="00992819"/>
    <w:rsid w:val="00992E11"/>
    <w:rsid w:val="009931B9"/>
    <w:rsid w:val="009935B1"/>
    <w:rsid w:val="00994375"/>
    <w:rsid w:val="00994E34"/>
    <w:rsid w:val="00995748"/>
    <w:rsid w:val="00995D6D"/>
    <w:rsid w:val="00995D8C"/>
    <w:rsid w:val="00996415"/>
    <w:rsid w:val="0099654C"/>
    <w:rsid w:val="00996588"/>
    <w:rsid w:val="009968CB"/>
    <w:rsid w:val="00997171"/>
    <w:rsid w:val="0099721A"/>
    <w:rsid w:val="009974A6"/>
    <w:rsid w:val="009974AE"/>
    <w:rsid w:val="00997964"/>
    <w:rsid w:val="009A019A"/>
    <w:rsid w:val="009A0284"/>
    <w:rsid w:val="009A10C2"/>
    <w:rsid w:val="009A14B7"/>
    <w:rsid w:val="009A1620"/>
    <w:rsid w:val="009A1A6C"/>
    <w:rsid w:val="009A2039"/>
    <w:rsid w:val="009A258B"/>
    <w:rsid w:val="009A282A"/>
    <w:rsid w:val="009A2DBD"/>
    <w:rsid w:val="009A38BB"/>
    <w:rsid w:val="009A3F23"/>
    <w:rsid w:val="009A40EB"/>
    <w:rsid w:val="009A43C0"/>
    <w:rsid w:val="009A4AA6"/>
    <w:rsid w:val="009A4F5A"/>
    <w:rsid w:val="009A4FBA"/>
    <w:rsid w:val="009A5206"/>
    <w:rsid w:val="009A5223"/>
    <w:rsid w:val="009A52B8"/>
    <w:rsid w:val="009A535C"/>
    <w:rsid w:val="009A5E57"/>
    <w:rsid w:val="009A618E"/>
    <w:rsid w:val="009A63D8"/>
    <w:rsid w:val="009A6FE2"/>
    <w:rsid w:val="009A73A6"/>
    <w:rsid w:val="009A751D"/>
    <w:rsid w:val="009A7C16"/>
    <w:rsid w:val="009A7ED6"/>
    <w:rsid w:val="009B0001"/>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0EC9"/>
    <w:rsid w:val="009C1134"/>
    <w:rsid w:val="009C1355"/>
    <w:rsid w:val="009C1615"/>
    <w:rsid w:val="009C1D23"/>
    <w:rsid w:val="009C1F90"/>
    <w:rsid w:val="009C23CB"/>
    <w:rsid w:val="009C268F"/>
    <w:rsid w:val="009C39E4"/>
    <w:rsid w:val="009C3C54"/>
    <w:rsid w:val="009C4242"/>
    <w:rsid w:val="009C42CE"/>
    <w:rsid w:val="009C4890"/>
    <w:rsid w:val="009C4C3A"/>
    <w:rsid w:val="009C4E37"/>
    <w:rsid w:val="009C5691"/>
    <w:rsid w:val="009C5729"/>
    <w:rsid w:val="009C5830"/>
    <w:rsid w:val="009C6686"/>
    <w:rsid w:val="009C6C0E"/>
    <w:rsid w:val="009C7333"/>
    <w:rsid w:val="009C7626"/>
    <w:rsid w:val="009C78D8"/>
    <w:rsid w:val="009C7DAB"/>
    <w:rsid w:val="009D14BC"/>
    <w:rsid w:val="009D1F4A"/>
    <w:rsid w:val="009D1FDD"/>
    <w:rsid w:val="009D22DE"/>
    <w:rsid w:val="009D22E1"/>
    <w:rsid w:val="009D24FB"/>
    <w:rsid w:val="009D2611"/>
    <w:rsid w:val="009D28E3"/>
    <w:rsid w:val="009D2DEF"/>
    <w:rsid w:val="009D30A1"/>
    <w:rsid w:val="009D42E1"/>
    <w:rsid w:val="009D468E"/>
    <w:rsid w:val="009D4CBE"/>
    <w:rsid w:val="009D4F21"/>
    <w:rsid w:val="009D5B0E"/>
    <w:rsid w:val="009D5B86"/>
    <w:rsid w:val="009D62DD"/>
    <w:rsid w:val="009D66BA"/>
    <w:rsid w:val="009D6A07"/>
    <w:rsid w:val="009D6E87"/>
    <w:rsid w:val="009D70D7"/>
    <w:rsid w:val="009D7598"/>
    <w:rsid w:val="009D78EE"/>
    <w:rsid w:val="009D7969"/>
    <w:rsid w:val="009D7B41"/>
    <w:rsid w:val="009D7B96"/>
    <w:rsid w:val="009D7EB8"/>
    <w:rsid w:val="009E0114"/>
    <w:rsid w:val="009E02A3"/>
    <w:rsid w:val="009E08DB"/>
    <w:rsid w:val="009E0E11"/>
    <w:rsid w:val="009E1035"/>
    <w:rsid w:val="009E1DF3"/>
    <w:rsid w:val="009E1E8A"/>
    <w:rsid w:val="009E21EF"/>
    <w:rsid w:val="009E26AB"/>
    <w:rsid w:val="009E274A"/>
    <w:rsid w:val="009E293B"/>
    <w:rsid w:val="009E2C7C"/>
    <w:rsid w:val="009E2E95"/>
    <w:rsid w:val="009E372C"/>
    <w:rsid w:val="009E3E95"/>
    <w:rsid w:val="009E3E9B"/>
    <w:rsid w:val="009E3EB5"/>
    <w:rsid w:val="009E42B5"/>
    <w:rsid w:val="009E449B"/>
    <w:rsid w:val="009E4AD4"/>
    <w:rsid w:val="009E50DD"/>
    <w:rsid w:val="009E566B"/>
    <w:rsid w:val="009E57D0"/>
    <w:rsid w:val="009E581D"/>
    <w:rsid w:val="009E5FAA"/>
    <w:rsid w:val="009E61D8"/>
    <w:rsid w:val="009E63BE"/>
    <w:rsid w:val="009E6A3F"/>
    <w:rsid w:val="009E757D"/>
    <w:rsid w:val="009E797E"/>
    <w:rsid w:val="009E7DBD"/>
    <w:rsid w:val="009F02A9"/>
    <w:rsid w:val="009F0696"/>
    <w:rsid w:val="009F0889"/>
    <w:rsid w:val="009F151F"/>
    <w:rsid w:val="009F152E"/>
    <w:rsid w:val="009F1A81"/>
    <w:rsid w:val="009F1C56"/>
    <w:rsid w:val="009F2085"/>
    <w:rsid w:val="009F2327"/>
    <w:rsid w:val="009F24B9"/>
    <w:rsid w:val="009F3551"/>
    <w:rsid w:val="009F3D03"/>
    <w:rsid w:val="009F3E17"/>
    <w:rsid w:val="009F3F7C"/>
    <w:rsid w:val="009F3F99"/>
    <w:rsid w:val="009F4155"/>
    <w:rsid w:val="009F45FD"/>
    <w:rsid w:val="009F4760"/>
    <w:rsid w:val="009F4900"/>
    <w:rsid w:val="009F4E87"/>
    <w:rsid w:val="009F4F5C"/>
    <w:rsid w:val="009F508C"/>
    <w:rsid w:val="009F6527"/>
    <w:rsid w:val="009F6541"/>
    <w:rsid w:val="009F65FB"/>
    <w:rsid w:val="009F67E9"/>
    <w:rsid w:val="00A000B1"/>
    <w:rsid w:val="00A00A67"/>
    <w:rsid w:val="00A010E4"/>
    <w:rsid w:val="00A0110C"/>
    <w:rsid w:val="00A0133D"/>
    <w:rsid w:val="00A013BA"/>
    <w:rsid w:val="00A01698"/>
    <w:rsid w:val="00A01B5B"/>
    <w:rsid w:val="00A01CC9"/>
    <w:rsid w:val="00A02242"/>
    <w:rsid w:val="00A0250A"/>
    <w:rsid w:val="00A028CD"/>
    <w:rsid w:val="00A028FD"/>
    <w:rsid w:val="00A032DA"/>
    <w:rsid w:val="00A0330C"/>
    <w:rsid w:val="00A03479"/>
    <w:rsid w:val="00A03607"/>
    <w:rsid w:val="00A053A9"/>
    <w:rsid w:val="00A053CA"/>
    <w:rsid w:val="00A05E85"/>
    <w:rsid w:val="00A060F2"/>
    <w:rsid w:val="00A06152"/>
    <w:rsid w:val="00A06799"/>
    <w:rsid w:val="00A06837"/>
    <w:rsid w:val="00A06BE9"/>
    <w:rsid w:val="00A070BB"/>
    <w:rsid w:val="00A07652"/>
    <w:rsid w:val="00A07E33"/>
    <w:rsid w:val="00A101BA"/>
    <w:rsid w:val="00A10208"/>
    <w:rsid w:val="00A11042"/>
    <w:rsid w:val="00A11229"/>
    <w:rsid w:val="00A112C4"/>
    <w:rsid w:val="00A1172D"/>
    <w:rsid w:val="00A11D68"/>
    <w:rsid w:val="00A12436"/>
    <w:rsid w:val="00A12899"/>
    <w:rsid w:val="00A13286"/>
    <w:rsid w:val="00A13312"/>
    <w:rsid w:val="00A1332A"/>
    <w:rsid w:val="00A133EB"/>
    <w:rsid w:val="00A13692"/>
    <w:rsid w:val="00A13CF0"/>
    <w:rsid w:val="00A13EA2"/>
    <w:rsid w:val="00A13FFB"/>
    <w:rsid w:val="00A1401E"/>
    <w:rsid w:val="00A1420C"/>
    <w:rsid w:val="00A14B83"/>
    <w:rsid w:val="00A1512C"/>
    <w:rsid w:val="00A15703"/>
    <w:rsid w:val="00A15E51"/>
    <w:rsid w:val="00A162FD"/>
    <w:rsid w:val="00A16B76"/>
    <w:rsid w:val="00A16FE5"/>
    <w:rsid w:val="00A17294"/>
    <w:rsid w:val="00A1755F"/>
    <w:rsid w:val="00A17609"/>
    <w:rsid w:val="00A17978"/>
    <w:rsid w:val="00A179D9"/>
    <w:rsid w:val="00A17A5D"/>
    <w:rsid w:val="00A2070C"/>
    <w:rsid w:val="00A20BC1"/>
    <w:rsid w:val="00A214BC"/>
    <w:rsid w:val="00A219D4"/>
    <w:rsid w:val="00A21AD2"/>
    <w:rsid w:val="00A2299F"/>
    <w:rsid w:val="00A22EC0"/>
    <w:rsid w:val="00A23464"/>
    <w:rsid w:val="00A23A1C"/>
    <w:rsid w:val="00A23CC0"/>
    <w:rsid w:val="00A2418A"/>
    <w:rsid w:val="00A253F7"/>
    <w:rsid w:val="00A26116"/>
    <w:rsid w:val="00A26192"/>
    <w:rsid w:val="00A26526"/>
    <w:rsid w:val="00A275EF"/>
    <w:rsid w:val="00A2774B"/>
    <w:rsid w:val="00A27A23"/>
    <w:rsid w:val="00A27AED"/>
    <w:rsid w:val="00A30114"/>
    <w:rsid w:val="00A3036D"/>
    <w:rsid w:val="00A303CE"/>
    <w:rsid w:val="00A30517"/>
    <w:rsid w:val="00A30DFF"/>
    <w:rsid w:val="00A31015"/>
    <w:rsid w:val="00A31BCD"/>
    <w:rsid w:val="00A32693"/>
    <w:rsid w:val="00A336C0"/>
    <w:rsid w:val="00A33B23"/>
    <w:rsid w:val="00A33D09"/>
    <w:rsid w:val="00A343FD"/>
    <w:rsid w:val="00A34443"/>
    <w:rsid w:val="00A34450"/>
    <w:rsid w:val="00A348B8"/>
    <w:rsid w:val="00A351F1"/>
    <w:rsid w:val="00A35566"/>
    <w:rsid w:val="00A35C04"/>
    <w:rsid w:val="00A36005"/>
    <w:rsid w:val="00A365EC"/>
    <w:rsid w:val="00A3673A"/>
    <w:rsid w:val="00A36BC7"/>
    <w:rsid w:val="00A36F12"/>
    <w:rsid w:val="00A372CB"/>
    <w:rsid w:val="00A374B1"/>
    <w:rsid w:val="00A37798"/>
    <w:rsid w:val="00A400BF"/>
    <w:rsid w:val="00A400C2"/>
    <w:rsid w:val="00A405A9"/>
    <w:rsid w:val="00A4060B"/>
    <w:rsid w:val="00A40B2C"/>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3CD4"/>
    <w:rsid w:val="00A44D3F"/>
    <w:rsid w:val="00A44D8E"/>
    <w:rsid w:val="00A44E93"/>
    <w:rsid w:val="00A44EE0"/>
    <w:rsid w:val="00A462AF"/>
    <w:rsid w:val="00A4647F"/>
    <w:rsid w:val="00A46651"/>
    <w:rsid w:val="00A46A2A"/>
    <w:rsid w:val="00A46B3A"/>
    <w:rsid w:val="00A4731F"/>
    <w:rsid w:val="00A477FA"/>
    <w:rsid w:val="00A47B48"/>
    <w:rsid w:val="00A47E3E"/>
    <w:rsid w:val="00A50CC7"/>
    <w:rsid w:val="00A50F83"/>
    <w:rsid w:val="00A512DB"/>
    <w:rsid w:val="00A51ADF"/>
    <w:rsid w:val="00A51B4A"/>
    <w:rsid w:val="00A51F85"/>
    <w:rsid w:val="00A51FED"/>
    <w:rsid w:val="00A523D0"/>
    <w:rsid w:val="00A5255F"/>
    <w:rsid w:val="00A52606"/>
    <w:rsid w:val="00A526FD"/>
    <w:rsid w:val="00A52D73"/>
    <w:rsid w:val="00A53A79"/>
    <w:rsid w:val="00A5400A"/>
    <w:rsid w:val="00A5422C"/>
    <w:rsid w:val="00A5443C"/>
    <w:rsid w:val="00A54DE2"/>
    <w:rsid w:val="00A55BC9"/>
    <w:rsid w:val="00A5601F"/>
    <w:rsid w:val="00A561D1"/>
    <w:rsid w:val="00A5643F"/>
    <w:rsid w:val="00A5661A"/>
    <w:rsid w:val="00A566E3"/>
    <w:rsid w:val="00A566F2"/>
    <w:rsid w:val="00A569D3"/>
    <w:rsid w:val="00A56B0F"/>
    <w:rsid w:val="00A56E39"/>
    <w:rsid w:val="00A57275"/>
    <w:rsid w:val="00A574BE"/>
    <w:rsid w:val="00A5750D"/>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205"/>
    <w:rsid w:val="00A63D98"/>
    <w:rsid w:val="00A6401D"/>
    <w:rsid w:val="00A6454B"/>
    <w:rsid w:val="00A64B56"/>
    <w:rsid w:val="00A64E33"/>
    <w:rsid w:val="00A64E87"/>
    <w:rsid w:val="00A6590A"/>
    <w:rsid w:val="00A65CCD"/>
    <w:rsid w:val="00A65E8D"/>
    <w:rsid w:val="00A66095"/>
    <w:rsid w:val="00A66567"/>
    <w:rsid w:val="00A66CB6"/>
    <w:rsid w:val="00A67741"/>
    <w:rsid w:val="00A67BA2"/>
    <w:rsid w:val="00A67C6D"/>
    <w:rsid w:val="00A7008F"/>
    <w:rsid w:val="00A701AF"/>
    <w:rsid w:val="00A701CF"/>
    <w:rsid w:val="00A70460"/>
    <w:rsid w:val="00A70A6E"/>
    <w:rsid w:val="00A70D46"/>
    <w:rsid w:val="00A70F47"/>
    <w:rsid w:val="00A71FE1"/>
    <w:rsid w:val="00A721EC"/>
    <w:rsid w:val="00A725BE"/>
    <w:rsid w:val="00A729D8"/>
    <w:rsid w:val="00A72BF4"/>
    <w:rsid w:val="00A73180"/>
    <w:rsid w:val="00A7323A"/>
    <w:rsid w:val="00A74046"/>
    <w:rsid w:val="00A74136"/>
    <w:rsid w:val="00A744B5"/>
    <w:rsid w:val="00A746B8"/>
    <w:rsid w:val="00A74C22"/>
    <w:rsid w:val="00A74F9E"/>
    <w:rsid w:val="00A75599"/>
    <w:rsid w:val="00A7593C"/>
    <w:rsid w:val="00A76898"/>
    <w:rsid w:val="00A76CC6"/>
    <w:rsid w:val="00A76D67"/>
    <w:rsid w:val="00A77154"/>
    <w:rsid w:val="00A77174"/>
    <w:rsid w:val="00A77323"/>
    <w:rsid w:val="00A77A99"/>
    <w:rsid w:val="00A77C11"/>
    <w:rsid w:val="00A800CC"/>
    <w:rsid w:val="00A80283"/>
    <w:rsid w:val="00A8084C"/>
    <w:rsid w:val="00A80B58"/>
    <w:rsid w:val="00A80C46"/>
    <w:rsid w:val="00A8132F"/>
    <w:rsid w:val="00A814D0"/>
    <w:rsid w:val="00A81669"/>
    <w:rsid w:val="00A81B15"/>
    <w:rsid w:val="00A81C1C"/>
    <w:rsid w:val="00A81C67"/>
    <w:rsid w:val="00A82476"/>
    <w:rsid w:val="00A82658"/>
    <w:rsid w:val="00A829DD"/>
    <w:rsid w:val="00A8327D"/>
    <w:rsid w:val="00A83684"/>
    <w:rsid w:val="00A83866"/>
    <w:rsid w:val="00A842B4"/>
    <w:rsid w:val="00A84365"/>
    <w:rsid w:val="00A84453"/>
    <w:rsid w:val="00A84AF9"/>
    <w:rsid w:val="00A84C34"/>
    <w:rsid w:val="00A84EED"/>
    <w:rsid w:val="00A85455"/>
    <w:rsid w:val="00A8559A"/>
    <w:rsid w:val="00A8598E"/>
    <w:rsid w:val="00A85AF2"/>
    <w:rsid w:val="00A85DBC"/>
    <w:rsid w:val="00A861CD"/>
    <w:rsid w:val="00A8620D"/>
    <w:rsid w:val="00A8621F"/>
    <w:rsid w:val="00A86264"/>
    <w:rsid w:val="00A86387"/>
    <w:rsid w:val="00A8651D"/>
    <w:rsid w:val="00A86565"/>
    <w:rsid w:val="00A87473"/>
    <w:rsid w:val="00A87754"/>
    <w:rsid w:val="00A877AC"/>
    <w:rsid w:val="00A8793F"/>
    <w:rsid w:val="00A87C95"/>
    <w:rsid w:val="00A87EF3"/>
    <w:rsid w:val="00A90623"/>
    <w:rsid w:val="00A90A21"/>
    <w:rsid w:val="00A90C23"/>
    <w:rsid w:val="00A90D2C"/>
    <w:rsid w:val="00A90F90"/>
    <w:rsid w:val="00A91CA8"/>
    <w:rsid w:val="00A91D60"/>
    <w:rsid w:val="00A92763"/>
    <w:rsid w:val="00A92FD1"/>
    <w:rsid w:val="00A930E0"/>
    <w:rsid w:val="00A934C1"/>
    <w:rsid w:val="00A93808"/>
    <w:rsid w:val="00A93B9B"/>
    <w:rsid w:val="00A93C08"/>
    <w:rsid w:val="00A941AE"/>
    <w:rsid w:val="00A94559"/>
    <w:rsid w:val="00A945EF"/>
    <w:rsid w:val="00A94A6D"/>
    <w:rsid w:val="00A9502B"/>
    <w:rsid w:val="00A9508D"/>
    <w:rsid w:val="00A9519E"/>
    <w:rsid w:val="00A95558"/>
    <w:rsid w:val="00A9628D"/>
    <w:rsid w:val="00A963E3"/>
    <w:rsid w:val="00A96F18"/>
    <w:rsid w:val="00A97249"/>
    <w:rsid w:val="00A9778C"/>
    <w:rsid w:val="00AA0445"/>
    <w:rsid w:val="00AA0A78"/>
    <w:rsid w:val="00AA0C7B"/>
    <w:rsid w:val="00AA127E"/>
    <w:rsid w:val="00AA169D"/>
    <w:rsid w:val="00AA1B6E"/>
    <w:rsid w:val="00AA2158"/>
    <w:rsid w:val="00AA35BB"/>
    <w:rsid w:val="00AA35BC"/>
    <w:rsid w:val="00AA35DC"/>
    <w:rsid w:val="00AA3BB5"/>
    <w:rsid w:val="00AA40B9"/>
    <w:rsid w:val="00AA4287"/>
    <w:rsid w:val="00AA4479"/>
    <w:rsid w:val="00AA4815"/>
    <w:rsid w:val="00AA4E29"/>
    <w:rsid w:val="00AA53BF"/>
    <w:rsid w:val="00AA54FE"/>
    <w:rsid w:val="00AA63BB"/>
    <w:rsid w:val="00AA6593"/>
    <w:rsid w:val="00AA6747"/>
    <w:rsid w:val="00AA6785"/>
    <w:rsid w:val="00AA7171"/>
    <w:rsid w:val="00AA7677"/>
    <w:rsid w:val="00AA79A0"/>
    <w:rsid w:val="00AA7A65"/>
    <w:rsid w:val="00AA7C1A"/>
    <w:rsid w:val="00AA7CAA"/>
    <w:rsid w:val="00AA7FC6"/>
    <w:rsid w:val="00AB0566"/>
    <w:rsid w:val="00AB05EE"/>
    <w:rsid w:val="00AB0613"/>
    <w:rsid w:val="00AB07ED"/>
    <w:rsid w:val="00AB0CA4"/>
    <w:rsid w:val="00AB1691"/>
    <w:rsid w:val="00AB200B"/>
    <w:rsid w:val="00AB2154"/>
    <w:rsid w:val="00AB24DD"/>
    <w:rsid w:val="00AB26C6"/>
    <w:rsid w:val="00AB30BF"/>
    <w:rsid w:val="00AB30DA"/>
    <w:rsid w:val="00AB354C"/>
    <w:rsid w:val="00AB3710"/>
    <w:rsid w:val="00AB39B5"/>
    <w:rsid w:val="00AB3F5D"/>
    <w:rsid w:val="00AB3FCF"/>
    <w:rsid w:val="00AB403D"/>
    <w:rsid w:val="00AB4556"/>
    <w:rsid w:val="00AB4B52"/>
    <w:rsid w:val="00AB518F"/>
    <w:rsid w:val="00AB5989"/>
    <w:rsid w:val="00AB5B79"/>
    <w:rsid w:val="00AB6393"/>
    <w:rsid w:val="00AB653C"/>
    <w:rsid w:val="00AB69DD"/>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540"/>
    <w:rsid w:val="00AC416D"/>
    <w:rsid w:val="00AC42CA"/>
    <w:rsid w:val="00AC4845"/>
    <w:rsid w:val="00AC49A3"/>
    <w:rsid w:val="00AC4C4B"/>
    <w:rsid w:val="00AC4CB0"/>
    <w:rsid w:val="00AC5975"/>
    <w:rsid w:val="00AC63E9"/>
    <w:rsid w:val="00AC668A"/>
    <w:rsid w:val="00AC66AC"/>
    <w:rsid w:val="00AC67C3"/>
    <w:rsid w:val="00AC6A48"/>
    <w:rsid w:val="00AC70B9"/>
    <w:rsid w:val="00AC7254"/>
    <w:rsid w:val="00AC76A1"/>
    <w:rsid w:val="00AD0265"/>
    <w:rsid w:val="00AD0959"/>
    <w:rsid w:val="00AD098C"/>
    <w:rsid w:val="00AD0BE7"/>
    <w:rsid w:val="00AD0E1A"/>
    <w:rsid w:val="00AD14CC"/>
    <w:rsid w:val="00AD1EBC"/>
    <w:rsid w:val="00AD1F9B"/>
    <w:rsid w:val="00AD24FE"/>
    <w:rsid w:val="00AD2765"/>
    <w:rsid w:val="00AD3134"/>
    <w:rsid w:val="00AD472B"/>
    <w:rsid w:val="00AD4D29"/>
    <w:rsid w:val="00AD534D"/>
    <w:rsid w:val="00AD5820"/>
    <w:rsid w:val="00AD58B9"/>
    <w:rsid w:val="00AD5B42"/>
    <w:rsid w:val="00AD6101"/>
    <w:rsid w:val="00AD62F4"/>
    <w:rsid w:val="00AD6920"/>
    <w:rsid w:val="00AD6BBB"/>
    <w:rsid w:val="00AD725F"/>
    <w:rsid w:val="00AD735E"/>
    <w:rsid w:val="00AD74B2"/>
    <w:rsid w:val="00AE0244"/>
    <w:rsid w:val="00AE02D9"/>
    <w:rsid w:val="00AE0D0B"/>
    <w:rsid w:val="00AE0E37"/>
    <w:rsid w:val="00AE1242"/>
    <w:rsid w:val="00AE15D2"/>
    <w:rsid w:val="00AE1BBD"/>
    <w:rsid w:val="00AE22A8"/>
    <w:rsid w:val="00AE22C6"/>
    <w:rsid w:val="00AE28FC"/>
    <w:rsid w:val="00AE2987"/>
    <w:rsid w:val="00AE3AC0"/>
    <w:rsid w:val="00AE3FBC"/>
    <w:rsid w:val="00AE4144"/>
    <w:rsid w:val="00AE42D1"/>
    <w:rsid w:val="00AE434E"/>
    <w:rsid w:val="00AE4381"/>
    <w:rsid w:val="00AE4862"/>
    <w:rsid w:val="00AE5297"/>
    <w:rsid w:val="00AE5CA9"/>
    <w:rsid w:val="00AE602E"/>
    <w:rsid w:val="00AE6F6B"/>
    <w:rsid w:val="00AE7072"/>
    <w:rsid w:val="00AE72D5"/>
    <w:rsid w:val="00AE77CD"/>
    <w:rsid w:val="00AE77D3"/>
    <w:rsid w:val="00AE78E1"/>
    <w:rsid w:val="00AE7954"/>
    <w:rsid w:val="00AF1147"/>
    <w:rsid w:val="00AF15D9"/>
    <w:rsid w:val="00AF1881"/>
    <w:rsid w:val="00AF1914"/>
    <w:rsid w:val="00AF1EB7"/>
    <w:rsid w:val="00AF295D"/>
    <w:rsid w:val="00AF2CFA"/>
    <w:rsid w:val="00AF2EAD"/>
    <w:rsid w:val="00AF3830"/>
    <w:rsid w:val="00AF4171"/>
    <w:rsid w:val="00AF4178"/>
    <w:rsid w:val="00AF49A9"/>
    <w:rsid w:val="00AF53D3"/>
    <w:rsid w:val="00AF5A85"/>
    <w:rsid w:val="00AF632E"/>
    <w:rsid w:val="00AF6409"/>
    <w:rsid w:val="00AF67F0"/>
    <w:rsid w:val="00AF746C"/>
    <w:rsid w:val="00AF798E"/>
    <w:rsid w:val="00B00B34"/>
    <w:rsid w:val="00B00B4C"/>
    <w:rsid w:val="00B00CB9"/>
    <w:rsid w:val="00B00D97"/>
    <w:rsid w:val="00B01168"/>
    <w:rsid w:val="00B01267"/>
    <w:rsid w:val="00B01764"/>
    <w:rsid w:val="00B018BD"/>
    <w:rsid w:val="00B01F30"/>
    <w:rsid w:val="00B020FB"/>
    <w:rsid w:val="00B0269A"/>
    <w:rsid w:val="00B02727"/>
    <w:rsid w:val="00B02A9F"/>
    <w:rsid w:val="00B0358A"/>
    <w:rsid w:val="00B03773"/>
    <w:rsid w:val="00B03E03"/>
    <w:rsid w:val="00B04064"/>
    <w:rsid w:val="00B04094"/>
    <w:rsid w:val="00B0409E"/>
    <w:rsid w:val="00B04546"/>
    <w:rsid w:val="00B045E0"/>
    <w:rsid w:val="00B04BBB"/>
    <w:rsid w:val="00B04CD1"/>
    <w:rsid w:val="00B04EBE"/>
    <w:rsid w:val="00B04EE3"/>
    <w:rsid w:val="00B0545B"/>
    <w:rsid w:val="00B0582C"/>
    <w:rsid w:val="00B05C4B"/>
    <w:rsid w:val="00B05F9B"/>
    <w:rsid w:val="00B060C5"/>
    <w:rsid w:val="00B060C6"/>
    <w:rsid w:val="00B066EB"/>
    <w:rsid w:val="00B06B6F"/>
    <w:rsid w:val="00B06DFD"/>
    <w:rsid w:val="00B06E40"/>
    <w:rsid w:val="00B071E3"/>
    <w:rsid w:val="00B07902"/>
    <w:rsid w:val="00B07BBD"/>
    <w:rsid w:val="00B07DCE"/>
    <w:rsid w:val="00B07FAB"/>
    <w:rsid w:val="00B10059"/>
    <w:rsid w:val="00B10210"/>
    <w:rsid w:val="00B10424"/>
    <w:rsid w:val="00B10A8D"/>
    <w:rsid w:val="00B10ADA"/>
    <w:rsid w:val="00B10D4E"/>
    <w:rsid w:val="00B10EA1"/>
    <w:rsid w:val="00B11471"/>
    <w:rsid w:val="00B11512"/>
    <w:rsid w:val="00B11B4B"/>
    <w:rsid w:val="00B12414"/>
    <w:rsid w:val="00B1259A"/>
    <w:rsid w:val="00B12767"/>
    <w:rsid w:val="00B127B0"/>
    <w:rsid w:val="00B127D6"/>
    <w:rsid w:val="00B128FE"/>
    <w:rsid w:val="00B1296F"/>
    <w:rsid w:val="00B12B02"/>
    <w:rsid w:val="00B12B6B"/>
    <w:rsid w:val="00B12BDE"/>
    <w:rsid w:val="00B13D51"/>
    <w:rsid w:val="00B13E64"/>
    <w:rsid w:val="00B1474D"/>
    <w:rsid w:val="00B147A8"/>
    <w:rsid w:val="00B1484B"/>
    <w:rsid w:val="00B14986"/>
    <w:rsid w:val="00B14B20"/>
    <w:rsid w:val="00B1629D"/>
    <w:rsid w:val="00B16697"/>
    <w:rsid w:val="00B1691B"/>
    <w:rsid w:val="00B171AF"/>
    <w:rsid w:val="00B1773B"/>
    <w:rsid w:val="00B177AB"/>
    <w:rsid w:val="00B177E5"/>
    <w:rsid w:val="00B17A85"/>
    <w:rsid w:val="00B17DAA"/>
    <w:rsid w:val="00B200BC"/>
    <w:rsid w:val="00B202D7"/>
    <w:rsid w:val="00B20319"/>
    <w:rsid w:val="00B20347"/>
    <w:rsid w:val="00B206D4"/>
    <w:rsid w:val="00B209C9"/>
    <w:rsid w:val="00B20D9A"/>
    <w:rsid w:val="00B20E7E"/>
    <w:rsid w:val="00B20F0A"/>
    <w:rsid w:val="00B21224"/>
    <w:rsid w:val="00B21339"/>
    <w:rsid w:val="00B2170F"/>
    <w:rsid w:val="00B21E9F"/>
    <w:rsid w:val="00B21F17"/>
    <w:rsid w:val="00B21F44"/>
    <w:rsid w:val="00B21FA9"/>
    <w:rsid w:val="00B22EFF"/>
    <w:rsid w:val="00B2304C"/>
    <w:rsid w:val="00B2329A"/>
    <w:rsid w:val="00B23CBD"/>
    <w:rsid w:val="00B240A1"/>
    <w:rsid w:val="00B2413A"/>
    <w:rsid w:val="00B245CC"/>
    <w:rsid w:val="00B245EC"/>
    <w:rsid w:val="00B248C9"/>
    <w:rsid w:val="00B24D04"/>
    <w:rsid w:val="00B251CE"/>
    <w:rsid w:val="00B25218"/>
    <w:rsid w:val="00B25561"/>
    <w:rsid w:val="00B256FD"/>
    <w:rsid w:val="00B25D9C"/>
    <w:rsid w:val="00B26EED"/>
    <w:rsid w:val="00B273E2"/>
    <w:rsid w:val="00B27482"/>
    <w:rsid w:val="00B27E48"/>
    <w:rsid w:val="00B27F9F"/>
    <w:rsid w:val="00B300C3"/>
    <w:rsid w:val="00B30565"/>
    <w:rsid w:val="00B30B14"/>
    <w:rsid w:val="00B30B2F"/>
    <w:rsid w:val="00B30D3B"/>
    <w:rsid w:val="00B30F45"/>
    <w:rsid w:val="00B31E70"/>
    <w:rsid w:val="00B322B2"/>
    <w:rsid w:val="00B322D9"/>
    <w:rsid w:val="00B3269E"/>
    <w:rsid w:val="00B32D83"/>
    <w:rsid w:val="00B33106"/>
    <w:rsid w:val="00B3360E"/>
    <w:rsid w:val="00B33916"/>
    <w:rsid w:val="00B33C54"/>
    <w:rsid w:val="00B34109"/>
    <w:rsid w:val="00B3464B"/>
    <w:rsid w:val="00B34790"/>
    <w:rsid w:val="00B347AC"/>
    <w:rsid w:val="00B34E41"/>
    <w:rsid w:val="00B352DC"/>
    <w:rsid w:val="00B362D9"/>
    <w:rsid w:val="00B363DD"/>
    <w:rsid w:val="00B36455"/>
    <w:rsid w:val="00B36F5E"/>
    <w:rsid w:val="00B3758C"/>
    <w:rsid w:val="00B3783A"/>
    <w:rsid w:val="00B37996"/>
    <w:rsid w:val="00B379D8"/>
    <w:rsid w:val="00B40089"/>
    <w:rsid w:val="00B4010D"/>
    <w:rsid w:val="00B40380"/>
    <w:rsid w:val="00B40548"/>
    <w:rsid w:val="00B406F2"/>
    <w:rsid w:val="00B40B7D"/>
    <w:rsid w:val="00B40F98"/>
    <w:rsid w:val="00B410C7"/>
    <w:rsid w:val="00B41E26"/>
    <w:rsid w:val="00B42C8A"/>
    <w:rsid w:val="00B431AF"/>
    <w:rsid w:val="00B4329A"/>
    <w:rsid w:val="00B433C9"/>
    <w:rsid w:val="00B45040"/>
    <w:rsid w:val="00B45158"/>
    <w:rsid w:val="00B45523"/>
    <w:rsid w:val="00B45A2C"/>
    <w:rsid w:val="00B46106"/>
    <w:rsid w:val="00B46125"/>
    <w:rsid w:val="00B46ABA"/>
    <w:rsid w:val="00B47689"/>
    <w:rsid w:val="00B50561"/>
    <w:rsid w:val="00B50916"/>
    <w:rsid w:val="00B510D5"/>
    <w:rsid w:val="00B51542"/>
    <w:rsid w:val="00B51655"/>
    <w:rsid w:val="00B5172E"/>
    <w:rsid w:val="00B518B4"/>
    <w:rsid w:val="00B51E24"/>
    <w:rsid w:val="00B52199"/>
    <w:rsid w:val="00B524C6"/>
    <w:rsid w:val="00B524D8"/>
    <w:rsid w:val="00B525B6"/>
    <w:rsid w:val="00B5289D"/>
    <w:rsid w:val="00B52CD0"/>
    <w:rsid w:val="00B52D5B"/>
    <w:rsid w:val="00B532BB"/>
    <w:rsid w:val="00B537D5"/>
    <w:rsid w:val="00B53E31"/>
    <w:rsid w:val="00B542DE"/>
    <w:rsid w:val="00B545B1"/>
    <w:rsid w:val="00B545E5"/>
    <w:rsid w:val="00B5474F"/>
    <w:rsid w:val="00B547CF"/>
    <w:rsid w:val="00B54B74"/>
    <w:rsid w:val="00B55363"/>
    <w:rsid w:val="00B55942"/>
    <w:rsid w:val="00B56177"/>
    <w:rsid w:val="00B56D40"/>
    <w:rsid w:val="00B57BAB"/>
    <w:rsid w:val="00B57C56"/>
    <w:rsid w:val="00B57D64"/>
    <w:rsid w:val="00B57FB7"/>
    <w:rsid w:val="00B60032"/>
    <w:rsid w:val="00B604D4"/>
    <w:rsid w:val="00B6081F"/>
    <w:rsid w:val="00B6089D"/>
    <w:rsid w:val="00B609D8"/>
    <w:rsid w:val="00B615C9"/>
    <w:rsid w:val="00B61855"/>
    <w:rsid w:val="00B61A96"/>
    <w:rsid w:val="00B620DE"/>
    <w:rsid w:val="00B62543"/>
    <w:rsid w:val="00B62CA4"/>
    <w:rsid w:val="00B62CD7"/>
    <w:rsid w:val="00B62D8A"/>
    <w:rsid w:val="00B63086"/>
    <w:rsid w:val="00B630B9"/>
    <w:rsid w:val="00B6344F"/>
    <w:rsid w:val="00B63BE7"/>
    <w:rsid w:val="00B63D68"/>
    <w:rsid w:val="00B64C39"/>
    <w:rsid w:val="00B64E02"/>
    <w:rsid w:val="00B64EC2"/>
    <w:rsid w:val="00B656AA"/>
    <w:rsid w:val="00B65992"/>
    <w:rsid w:val="00B659E9"/>
    <w:rsid w:val="00B65AA7"/>
    <w:rsid w:val="00B65F65"/>
    <w:rsid w:val="00B664FC"/>
    <w:rsid w:val="00B66574"/>
    <w:rsid w:val="00B665D1"/>
    <w:rsid w:val="00B667F0"/>
    <w:rsid w:val="00B66CA1"/>
    <w:rsid w:val="00B675BB"/>
    <w:rsid w:val="00B679B7"/>
    <w:rsid w:val="00B679F3"/>
    <w:rsid w:val="00B67B71"/>
    <w:rsid w:val="00B67E76"/>
    <w:rsid w:val="00B700DC"/>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2F5"/>
    <w:rsid w:val="00B751AB"/>
    <w:rsid w:val="00B756A6"/>
    <w:rsid w:val="00B75A33"/>
    <w:rsid w:val="00B76006"/>
    <w:rsid w:val="00B76754"/>
    <w:rsid w:val="00B76A9E"/>
    <w:rsid w:val="00B77348"/>
    <w:rsid w:val="00B774DC"/>
    <w:rsid w:val="00B779A3"/>
    <w:rsid w:val="00B77E62"/>
    <w:rsid w:val="00B801D3"/>
    <w:rsid w:val="00B802F9"/>
    <w:rsid w:val="00B80374"/>
    <w:rsid w:val="00B80554"/>
    <w:rsid w:val="00B80678"/>
    <w:rsid w:val="00B80960"/>
    <w:rsid w:val="00B809A2"/>
    <w:rsid w:val="00B80F90"/>
    <w:rsid w:val="00B81206"/>
    <w:rsid w:val="00B817E2"/>
    <w:rsid w:val="00B81CC8"/>
    <w:rsid w:val="00B81DF5"/>
    <w:rsid w:val="00B82065"/>
    <w:rsid w:val="00B82142"/>
    <w:rsid w:val="00B82600"/>
    <w:rsid w:val="00B82DB8"/>
    <w:rsid w:val="00B83288"/>
    <w:rsid w:val="00B833A9"/>
    <w:rsid w:val="00B83D99"/>
    <w:rsid w:val="00B840BA"/>
    <w:rsid w:val="00B8441C"/>
    <w:rsid w:val="00B8446C"/>
    <w:rsid w:val="00B84799"/>
    <w:rsid w:val="00B847A6"/>
    <w:rsid w:val="00B848FA"/>
    <w:rsid w:val="00B84CEB"/>
    <w:rsid w:val="00B857FF"/>
    <w:rsid w:val="00B85E50"/>
    <w:rsid w:val="00B85EF6"/>
    <w:rsid w:val="00B8627F"/>
    <w:rsid w:val="00B86E2C"/>
    <w:rsid w:val="00B87903"/>
    <w:rsid w:val="00B87B6C"/>
    <w:rsid w:val="00B87DB7"/>
    <w:rsid w:val="00B90996"/>
    <w:rsid w:val="00B90EE9"/>
    <w:rsid w:val="00B91049"/>
    <w:rsid w:val="00B910FF"/>
    <w:rsid w:val="00B91168"/>
    <w:rsid w:val="00B91259"/>
    <w:rsid w:val="00B913AC"/>
    <w:rsid w:val="00B91731"/>
    <w:rsid w:val="00B9180E"/>
    <w:rsid w:val="00B92217"/>
    <w:rsid w:val="00B9249B"/>
    <w:rsid w:val="00B9276B"/>
    <w:rsid w:val="00B92B3A"/>
    <w:rsid w:val="00B92D87"/>
    <w:rsid w:val="00B92DE2"/>
    <w:rsid w:val="00B940E4"/>
    <w:rsid w:val="00B95060"/>
    <w:rsid w:val="00B9543E"/>
    <w:rsid w:val="00B95577"/>
    <w:rsid w:val="00B9615D"/>
    <w:rsid w:val="00B9620B"/>
    <w:rsid w:val="00B96245"/>
    <w:rsid w:val="00B9673C"/>
    <w:rsid w:val="00B96C82"/>
    <w:rsid w:val="00B96CD7"/>
    <w:rsid w:val="00B96DF3"/>
    <w:rsid w:val="00B97096"/>
    <w:rsid w:val="00B9740F"/>
    <w:rsid w:val="00B977EA"/>
    <w:rsid w:val="00B97C99"/>
    <w:rsid w:val="00BA022A"/>
    <w:rsid w:val="00BA03FD"/>
    <w:rsid w:val="00BA06DC"/>
    <w:rsid w:val="00BA0737"/>
    <w:rsid w:val="00BA0B91"/>
    <w:rsid w:val="00BA0D0E"/>
    <w:rsid w:val="00BA0E1D"/>
    <w:rsid w:val="00BA101C"/>
    <w:rsid w:val="00BA12FE"/>
    <w:rsid w:val="00BA13E8"/>
    <w:rsid w:val="00BA1DAE"/>
    <w:rsid w:val="00BA1FC8"/>
    <w:rsid w:val="00BA250A"/>
    <w:rsid w:val="00BA28EB"/>
    <w:rsid w:val="00BA2E23"/>
    <w:rsid w:val="00BA2EA3"/>
    <w:rsid w:val="00BA3103"/>
    <w:rsid w:val="00BA3221"/>
    <w:rsid w:val="00BA34DB"/>
    <w:rsid w:val="00BA39EF"/>
    <w:rsid w:val="00BA3CCE"/>
    <w:rsid w:val="00BA3FA8"/>
    <w:rsid w:val="00BA5C6D"/>
    <w:rsid w:val="00BA5F16"/>
    <w:rsid w:val="00BA65F6"/>
    <w:rsid w:val="00BA6D15"/>
    <w:rsid w:val="00BA70A7"/>
    <w:rsid w:val="00BA7245"/>
    <w:rsid w:val="00BA73E5"/>
    <w:rsid w:val="00BA78FA"/>
    <w:rsid w:val="00BB005F"/>
    <w:rsid w:val="00BB0405"/>
    <w:rsid w:val="00BB04C5"/>
    <w:rsid w:val="00BB0597"/>
    <w:rsid w:val="00BB06F1"/>
    <w:rsid w:val="00BB077F"/>
    <w:rsid w:val="00BB0CE5"/>
    <w:rsid w:val="00BB1006"/>
    <w:rsid w:val="00BB142C"/>
    <w:rsid w:val="00BB1AD8"/>
    <w:rsid w:val="00BB22FF"/>
    <w:rsid w:val="00BB2940"/>
    <w:rsid w:val="00BB2BF8"/>
    <w:rsid w:val="00BB3A30"/>
    <w:rsid w:val="00BB3DBB"/>
    <w:rsid w:val="00BB4388"/>
    <w:rsid w:val="00BB453C"/>
    <w:rsid w:val="00BB4AB3"/>
    <w:rsid w:val="00BB4BEB"/>
    <w:rsid w:val="00BB5041"/>
    <w:rsid w:val="00BB5060"/>
    <w:rsid w:val="00BB51C2"/>
    <w:rsid w:val="00BB560B"/>
    <w:rsid w:val="00BB5825"/>
    <w:rsid w:val="00BB5D49"/>
    <w:rsid w:val="00BB5EF1"/>
    <w:rsid w:val="00BB6469"/>
    <w:rsid w:val="00BB653F"/>
    <w:rsid w:val="00BB6555"/>
    <w:rsid w:val="00BB655E"/>
    <w:rsid w:val="00BB668F"/>
    <w:rsid w:val="00BB672A"/>
    <w:rsid w:val="00BB771B"/>
    <w:rsid w:val="00BB78F1"/>
    <w:rsid w:val="00BB7B13"/>
    <w:rsid w:val="00BB7C7C"/>
    <w:rsid w:val="00BB7CA9"/>
    <w:rsid w:val="00BC0473"/>
    <w:rsid w:val="00BC0BE3"/>
    <w:rsid w:val="00BC0F87"/>
    <w:rsid w:val="00BC13EE"/>
    <w:rsid w:val="00BC14FA"/>
    <w:rsid w:val="00BC15DD"/>
    <w:rsid w:val="00BC177F"/>
    <w:rsid w:val="00BC1926"/>
    <w:rsid w:val="00BC1A1E"/>
    <w:rsid w:val="00BC1F89"/>
    <w:rsid w:val="00BC2161"/>
    <w:rsid w:val="00BC288C"/>
    <w:rsid w:val="00BC2AC3"/>
    <w:rsid w:val="00BC3300"/>
    <w:rsid w:val="00BC3351"/>
    <w:rsid w:val="00BC4310"/>
    <w:rsid w:val="00BC43F2"/>
    <w:rsid w:val="00BC4848"/>
    <w:rsid w:val="00BC4DB6"/>
    <w:rsid w:val="00BC4FDE"/>
    <w:rsid w:val="00BC58F1"/>
    <w:rsid w:val="00BC5EBB"/>
    <w:rsid w:val="00BC6068"/>
    <w:rsid w:val="00BC694B"/>
    <w:rsid w:val="00BC6CA4"/>
    <w:rsid w:val="00BC7C82"/>
    <w:rsid w:val="00BC7D3D"/>
    <w:rsid w:val="00BD0182"/>
    <w:rsid w:val="00BD04A7"/>
    <w:rsid w:val="00BD087E"/>
    <w:rsid w:val="00BD08A9"/>
    <w:rsid w:val="00BD097F"/>
    <w:rsid w:val="00BD0D46"/>
    <w:rsid w:val="00BD1C9B"/>
    <w:rsid w:val="00BD2411"/>
    <w:rsid w:val="00BD2A1D"/>
    <w:rsid w:val="00BD2DC3"/>
    <w:rsid w:val="00BD2E5B"/>
    <w:rsid w:val="00BD3241"/>
    <w:rsid w:val="00BD43F9"/>
    <w:rsid w:val="00BD44BF"/>
    <w:rsid w:val="00BD4778"/>
    <w:rsid w:val="00BD5123"/>
    <w:rsid w:val="00BD5AB0"/>
    <w:rsid w:val="00BD5D57"/>
    <w:rsid w:val="00BD62C2"/>
    <w:rsid w:val="00BD6500"/>
    <w:rsid w:val="00BD6A83"/>
    <w:rsid w:val="00BD6BBD"/>
    <w:rsid w:val="00BD6D4A"/>
    <w:rsid w:val="00BD78A8"/>
    <w:rsid w:val="00BD791E"/>
    <w:rsid w:val="00BD7E58"/>
    <w:rsid w:val="00BD7FA8"/>
    <w:rsid w:val="00BE0C1E"/>
    <w:rsid w:val="00BE0D75"/>
    <w:rsid w:val="00BE1172"/>
    <w:rsid w:val="00BE1A40"/>
    <w:rsid w:val="00BE1B5D"/>
    <w:rsid w:val="00BE2152"/>
    <w:rsid w:val="00BE2191"/>
    <w:rsid w:val="00BE2338"/>
    <w:rsid w:val="00BE26AE"/>
    <w:rsid w:val="00BE2AD7"/>
    <w:rsid w:val="00BE3151"/>
    <w:rsid w:val="00BE3E91"/>
    <w:rsid w:val="00BE3F59"/>
    <w:rsid w:val="00BE47C9"/>
    <w:rsid w:val="00BE4F53"/>
    <w:rsid w:val="00BE50E0"/>
    <w:rsid w:val="00BE5197"/>
    <w:rsid w:val="00BE51BA"/>
    <w:rsid w:val="00BE5C07"/>
    <w:rsid w:val="00BE5DC3"/>
    <w:rsid w:val="00BE6483"/>
    <w:rsid w:val="00BE6C3E"/>
    <w:rsid w:val="00BE6F6F"/>
    <w:rsid w:val="00BE73CB"/>
    <w:rsid w:val="00BE757B"/>
    <w:rsid w:val="00BE7651"/>
    <w:rsid w:val="00BE7DB4"/>
    <w:rsid w:val="00BF0547"/>
    <w:rsid w:val="00BF07FC"/>
    <w:rsid w:val="00BF094B"/>
    <w:rsid w:val="00BF0B0D"/>
    <w:rsid w:val="00BF0B56"/>
    <w:rsid w:val="00BF1ABD"/>
    <w:rsid w:val="00BF1F30"/>
    <w:rsid w:val="00BF2329"/>
    <w:rsid w:val="00BF27F6"/>
    <w:rsid w:val="00BF2ED2"/>
    <w:rsid w:val="00BF2F24"/>
    <w:rsid w:val="00BF35CE"/>
    <w:rsid w:val="00BF35F6"/>
    <w:rsid w:val="00BF363A"/>
    <w:rsid w:val="00BF3AD8"/>
    <w:rsid w:val="00BF3F42"/>
    <w:rsid w:val="00BF408F"/>
    <w:rsid w:val="00BF44E9"/>
    <w:rsid w:val="00BF47BB"/>
    <w:rsid w:val="00BF4874"/>
    <w:rsid w:val="00BF491B"/>
    <w:rsid w:val="00BF4CDB"/>
    <w:rsid w:val="00BF4EFB"/>
    <w:rsid w:val="00BF53E7"/>
    <w:rsid w:val="00BF553D"/>
    <w:rsid w:val="00BF5939"/>
    <w:rsid w:val="00BF5D84"/>
    <w:rsid w:val="00BF61CA"/>
    <w:rsid w:val="00BF6210"/>
    <w:rsid w:val="00BF6B7D"/>
    <w:rsid w:val="00BF6E5E"/>
    <w:rsid w:val="00BF6F01"/>
    <w:rsid w:val="00C0030B"/>
    <w:rsid w:val="00C0067C"/>
    <w:rsid w:val="00C00A93"/>
    <w:rsid w:val="00C00AE5"/>
    <w:rsid w:val="00C00C81"/>
    <w:rsid w:val="00C00ED7"/>
    <w:rsid w:val="00C00F5B"/>
    <w:rsid w:val="00C00F92"/>
    <w:rsid w:val="00C0102F"/>
    <w:rsid w:val="00C0128C"/>
    <w:rsid w:val="00C01781"/>
    <w:rsid w:val="00C01883"/>
    <w:rsid w:val="00C01A7B"/>
    <w:rsid w:val="00C01CFA"/>
    <w:rsid w:val="00C0205B"/>
    <w:rsid w:val="00C02377"/>
    <w:rsid w:val="00C023C0"/>
    <w:rsid w:val="00C02457"/>
    <w:rsid w:val="00C02B4C"/>
    <w:rsid w:val="00C02B9E"/>
    <w:rsid w:val="00C02D01"/>
    <w:rsid w:val="00C02E5C"/>
    <w:rsid w:val="00C034F0"/>
    <w:rsid w:val="00C03A2A"/>
    <w:rsid w:val="00C0509A"/>
    <w:rsid w:val="00C05EE2"/>
    <w:rsid w:val="00C05EE9"/>
    <w:rsid w:val="00C06093"/>
    <w:rsid w:val="00C068ED"/>
    <w:rsid w:val="00C06E14"/>
    <w:rsid w:val="00C06EDB"/>
    <w:rsid w:val="00C06FC1"/>
    <w:rsid w:val="00C0728C"/>
    <w:rsid w:val="00C07A5E"/>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6C0"/>
    <w:rsid w:val="00C13EB4"/>
    <w:rsid w:val="00C1419D"/>
    <w:rsid w:val="00C142DE"/>
    <w:rsid w:val="00C14460"/>
    <w:rsid w:val="00C15417"/>
    <w:rsid w:val="00C15A54"/>
    <w:rsid w:val="00C15B5A"/>
    <w:rsid w:val="00C15D7B"/>
    <w:rsid w:val="00C162D9"/>
    <w:rsid w:val="00C16317"/>
    <w:rsid w:val="00C16577"/>
    <w:rsid w:val="00C16CEC"/>
    <w:rsid w:val="00C16FB3"/>
    <w:rsid w:val="00C1737C"/>
    <w:rsid w:val="00C174E2"/>
    <w:rsid w:val="00C17A43"/>
    <w:rsid w:val="00C17D63"/>
    <w:rsid w:val="00C17DDF"/>
    <w:rsid w:val="00C17EE3"/>
    <w:rsid w:val="00C20031"/>
    <w:rsid w:val="00C2027C"/>
    <w:rsid w:val="00C20CF9"/>
    <w:rsid w:val="00C20FE8"/>
    <w:rsid w:val="00C2118C"/>
    <w:rsid w:val="00C21554"/>
    <w:rsid w:val="00C21D78"/>
    <w:rsid w:val="00C22C6D"/>
    <w:rsid w:val="00C22D29"/>
    <w:rsid w:val="00C22EE5"/>
    <w:rsid w:val="00C233E7"/>
    <w:rsid w:val="00C2366B"/>
    <w:rsid w:val="00C2384B"/>
    <w:rsid w:val="00C240AF"/>
    <w:rsid w:val="00C24836"/>
    <w:rsid w:val="00C24AE4"/>
    <w:rsid w:val="00C24B4C"/>
    <w:rsid w:val="00C24C1B"/>
    <w:rsid w:val="00C255CF"/>
    <w:rsid w:val="00C25949"/>
    <w:rsid w:val="00C2639E"/>
    <w:rsid w:val="00C264E9"/>
    <w:rsid w:val="00C26CE4"/>
    <w:rsid w:val="00C26E5A"/>
    <w:rsid w:val="00C27299"/>
    <w:rsid w:val="00C27497"/>
    <w:rsid w:val="00C27716"/>
    <w:rsid w:val="00C27C4D"/>
    <w:rsid w:val="00C30821"/>
    <w:rsid w:val="00C30E2B"/>
    <w:rsid w:val="00C30F75"/>
    <w:rsid w:val="00C31006"/>
    <w:rsid w:val="00C315DD"/>
    <w:rsid w:val="00C31A0F"/>
    <w:rsid w:val="00C31B5D"/>
    <w:rsid w:val="00C31D4B"/>
    <w:rsid w:val="00C31E7D"/>
    <w:rsid w:val="00C324AA"/>
    <w:rsid w:val="00C3252D"/>
    <w:rsid w:val="00C32736"/>
    <w:rsid w:val="00C32948"/>
    <w:rsid w:val="00C32CE1"/>
    <w:rsid w:val="00C32F76"/>
    <w:rsid w:val="00C33184"/>
    <w:rsid w:val="00C3364A"/>
    <w:rsid w:val="00C33AF9"/>
    <w:rsid w:val="00C34328"/>
    <w:rsid w:val="00C34359"/>
    <w:rsid w:val="00C346D7"/>
    <w:rsid w:val="00C359F8"/>
    <w:rsid w:val="00C35BD1"/>
    <w:rsid w:val="00C35DC7"/>
    <w:rsid w:val="00C3605F"/>
    <w:rsid w:val="00C36427"/>
    <w:rsid w:val="00C3644A"/>
    <w:rsid w:val="00C372BD"/>
    <w:rsid w:val="00C37308"/>
    <w:rsid w:val="00C375B0"/>
    <w:rsid w:val="00C378E3"/>
    <w:rsid w:val="00C3794B"/>
    <w:rsid w:val="00C37B4C"/>
    <w:rsid w:val="00C37C6A"/>
    <w:rsid w:val="00C37CD2"/>
    <w:rsid w:val="00C37F9C"/>
    <w:rsid w:val="00C40B3D"/>
    <w:rsid w:val="00C40BCF"/>
    <w:rsid w:val="00C41032"/>
    <w:rsid w:val="00C41069"/>
    <w:rsid w:val="00C418A6"/>
    <w:rsid w:val="00C41AE7"/>
    <w:rsid w:val="00C4240B"/>
    <w:rsid w:val="00C4336A"/>
    <w:rsid w:val="00C43EC0"/>
    <w:rsid w:val="00C43FE4"/>
    <w:rsid w:val="00C440C1"/>
    <w:rsid w:val="00C44527"/>
    <w:rsid w:val="00C44835"/>
    <w:rsid w:val="00C44932"/>
    <w:rsid w:val="00C44BFB"/>
    <w:rsid w:val="00C452A7"/>
    <w:rsid w:val="00C454E9"/>
    <w:rsid w:val="00C45710"/>
    <w:rsid w:val="00C458C4"/>
    <w:rsid w:val="00C45A9F"/>
    <w:rsid w:val="00C45EE7"/>
    <w:rsid w:val="00C46119"/>
    <w:rsid w:val="00C46423"/>
    <w:rsid w:val="00C465B8"/>
    <w:rsid w:val="00C474CA"/>
    <w:rsid w:val="00C47FB1"/>
    <w:rsid w:val="00C5118D"/>
    <w:rsid w:val="00C51B63"/>
    <w:rsid w:val="00C51B8D"/>
    <w:rsid w:val="00C51D70"/>
    <w:rsid w:val="00C51EF2"/>
    <w:rsid w:val="00C52163"/>
    <w:rsid w:val="00C527B0"/>
    <w:rsid w:val="00C52814"/>
    <w:rsid w:val="00C5297A"/>
    <w:rsid w:val="00C52A49"/>
    <w:rsid w:val="00C52B06"/>
    <w:rsid w:val="00C52BDA"/>
    <w:rsid w:val="00C5319E"/>
    <w:rsid w:val="00C539E3"/>
    <w:rsid w:val="00C53CF2"/>
    <w:rsid w:val="00C54C21"/>
    <w:rsid w:val="00C55A94"/>
    <w:rsid w:val="00C55E73"/>
    <w:rsid w:val="00C56319"/>
    <w:rsid w:val="00C5689F"/>
    <w:rsid w:val="00C57440"/>
    <w:rsid w:val="00C57A23"/>
    <w:rsid w:val="00C57ED9"/>
    <w:rsid w:val="00C603AF"/>
    <w:rsid w:val="00C61F91"/>
    <w:rsid w:val="00C62107"/>
    <w:rsid w:val="00C629E6"/>
    <w:rsid w:val="00C62A07"/>
    <w:rsid w:val="00C62D85"/>
    <w:rsid w:val="00C63EE5"/>
    <w:rsid w:val="00C641B2"/>
    <w:rsid w:val="00C64250"/>
    <w:rsid w:val="00C64922"/>
    <w:rsid w:val="00C64957"/>
    <w:rsid w:val="00C64C47"/>
    <w:rsid w:val="00C64F75"/>
    <w:rsid w:val="00C65C50"/>
    <w:rsid w:val="00C665C4"/>
    <w:rsid w:val="00C66897"/>
    <w:rsid w:val="00C669D6"/>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203F"/>
    <w:rsid w:val="00C721C7"/>
    <w:rsid w:val="00C724D4"/>
    <w:rsid w:val="00C7254C"/>
    <w:rsid w:val="00C72886"/>
    <w:rsid w:val="00C733B4"/>
    <w:rsid w:val="00C73829"/>
    <w:rsid w:val="00C738C5"/>
    <w:rsid w:val="00C73A2D"/>
    <w:rsid w:val="00C7459C"/>
    <w:rsid w:val="00C74758"/>
    <w:rsid w:val="00C74CC1"/>
    <w:rsid w:val="00C74EF8"/>
    <w:rsid w:val="00C74F53"/>
    <w:rsid w:val="00C750FF"/>
    <w:rsid w:val="00C75991"/>
    <w:rsid w:val="00C7606D"/>
    <w:rsid w:val="00C76129"/>
    <w:rsid w:val="00C76536"/>
    <w:rsid w:val="00C767ED"/>
    <w:rsid w:val="00C76868"/>
    <w:rsid w:val="00C76BA0"/>
    <w:rsid w:val="00C76CFB"/>
    <w:rsid w:val="00C7701C"/>
    <w:rsid w:val="00C77344"/>
    <w:rsid w:val="00C773D8"/>
    <w:rsid w:val="00C77721"/>
    <w:rsid w:val="00C779EB"/>
    <w:rsid w:val="00C77C56"/>
    <w:rsid w:val="00C8021C"/>
    <w:rsid w:val="00C80427"/>
    <w:rsid w:val="00C804A8"/>
    <w:rsid w:val="00C80A8B"/>
    <w:rsid w:val="00C80CD8"/>
    <w:rsid w:val="00C8102F"/>
    <w:rsid w:val="00C8128F"/>
    <w:rsid w:val="00C81617"/>
    <w:rsid w:val="00C8162C"/>
    <w:rsid w:val="00C81936"/>
    <w:rsid w:val="00C81DF2"/>
    <w:rsid w:val="00C81E2C"/>
    <w:rsid w:val="00C81F3B"/>
    <w:rsid w:val="00C826B6"/>
    <w:rsid w:val="00C826F5"/>
    <w:rsid w:val="00C829D3"/>
    <w:rsid w:val="00C82DE2"/>
    <w:rsid w:val="00C82F3F"/>
    <w:rsid w:val="00C83315"/>
    <w:rsid w:val="00C83878"/>
    <w:rsid w:val="00C83C97"/>
    <w:rsid w:val="00C84356"/>
    <w:rsid w:val="00C847AE"/>
    <w:rsid w:val="00C8492D"/>
    <w:rsid w:val="00C84ECF"/>
    <w:rsid w:val="00C85358"/>
    <w:rsid w:val="00C85F80"/>
    <w:rsid w:val="00C85FE2"/>
    <w:rsid w:val="00C862DC"/>
    <w:rsid w:val="00C86776"/>
    <w:rsid w:val="00C86D9B"/>
    <w:rsid w:val="00C87004"/>
    <w:rsid w:val="00C87653"/>
    <w:rsid w:val="00C87774"/>
    <w:rsid w:val="00C87937"/>
    <w:rsid w:val="00C909C9"/>
    <w:rsid w:val="00C90B1B"/>
    <w:rsid w:val="00C90F05"/>
    <w:rsid w:val="00C917F6"/>
    <w:rsid w:val="00C922EA"/>
    <w:rsid w:val="00C92622"/>
    <w:rsid w:val="00C92A62"/>
    <w:rsid w:val="00C92C19"/>
    <w:rsid w:val="00C92E43"/>
    <w:rsid w:val="00C92FF9"/>
    <w:rsid w:val="00C93433"/>
    <w:rsid w:val="00C93A49"/>
    <w:rsid w:val="00C93B9D"/>
    <w:rsid w:val="00C93BF5"/>
    <w:rsid w:val="00C9439D"/>
    <w:rsid w:val="00C94BA9"/>
    <w:rsid w:val="00C954DF"/>
    <w:rsid w:val="00C95A12"/>
    <w:rsid w:val="00C95F38"/>
    <w:rsid w:val="00C961BA"/>
    <w:rsid w:val="00C96312"/>
    <w:rsid w:val="00C967C0"/>
    <w:rsid w:val="00C96AF7"/>
    <w:rsid w:val="00C96BA3"/>
    <w:rsid w:val="00C970AD"/>
    <w:rsid w:val="00C971B0"/>
    <w:rsid w:val="00C97316"/>
    <w:rsid w:val="00C976A3"/>
    <w:rsid w:val="00CA0268"/>
    <w:rsid w:val="00CA08B3"/>
    <w:rsid w:val="00CA18B9"/>
    <w:rsid w:val="00CA1A8D"/>
    <w:rsid w:val="00CA1CEE"/>
    <w:rsid w:val="00CA1E25"/>
    <w:rsid w:val="00CA224E"/>
    <w:rsid w:val="00CA24F1"/>
    <w:rsid w:val="00CA2A77"/>
    <w:rsid w:val="00CA2AF4"/>
    <w:rsid w:val="00CA358C"/>
    <w:rsid w:val="00CA3AF3"/>
    <w:rsid w:val="00CA446F"/>
    <w:rsid w:val="00CA4787"/>
    <w:rsid w:val="00CA4847"/>
    <w:rsid w:val="00CA48EC"/>
    <w:rsid w:val="00CA4B0B"/>
    <w:rsid w:val="00CA4BC2"/>
    <w:rsid w:val="00CA4D21"/>
    <w:rsid w:val="00CA59FD"/>
    <w:rsid w:val="00CA5E61"/>
    <w:rsid w:val="00CA627C"/>
    <w:rsid w:val="00CA654E"/>
    <w:rsid w:val="00CA65DA"/>
    <w:rsid w:val="00CA66C8"/>
    <w:rsid w:val="00CA6713"/>
    <w:rsid w:val="00CA68E7"/>
    <w:rsid w:val="00CA7127"/>
    <w:rsid w:val="00CA72E0"/>
    <w:rsid w:val="00CA748E"/>
    <w:rsid w:val="00CA7567"/>
    <w:rsid w:val="00CA7692"/>
    <w:rsid w:val="00CA76B4"/>
    <w:rsid w:val="00CA7852"/>
    <w:rsid w:val="00CA7EFE"/>
    <w:rsid w:val="00CB0504"/>
    <w:rsid w:val="00CB1125"/>
    <w:rsid w:val="00CB1174"/>
    <w:rsid w:val="00CB1279"/>
    <w:rsid w:val="00CB21AB"/>
    <w:rsid w:val="00CB2603"/>
    <w:rsid w:val="00CB32B1"/>
    <w:rsid w:val="00CB4372"/>
    <w:rsid w:val="00CB4950"/>
    <w:rsid w:val="00CB4D8B"/>
    <w:rsid w:val="00CB4EF1"/>
    <w:rsid w:val="00CB596E"/>
    <w:rsid w:val="00CB5A7C"/>
    <w:rsid w:val="00CB708D"/>
    <w:rsid w:val="00CB70BE"/>
    <w:rsid w:val="00CB74F9"/>
    <w:rsid w:val="00CB7743"/>
    <w:rsid w:val="00CC016A"/>
    <w:rsid w:val="00CC071D"/>
    <w:rsid w:val="00CC0DC4"/>
    <w:rsid w:val="00CC15DC"/>
    <w:rsid w:val="00CC1852"/>
    <w:rsid w:val="00CC1E78"/>
    <w:rsid w:val="00CC2207"/>
    <w:rsid w:val="00CC2828"/>
    <w:rsid w:val="00CC2AC6"/>
    <w:rsid w:val="00CC2B2F"/>
    <w:rsid w:val="00CC2B51"/>
    <w:rsid w:val="00CC2C43"/>
    <w:rsid w:val="00CC2D4A"/>
    <w:rsid w:val="00CC35CA"/>
    <w:rsid w:val="00CC36BA"/>
    <w:rsid w:val="00CC3AE9"/>
    <w:rsid w:val="00CC3B73"/>
    <w:rsid w:val="00CC3FEF"/>
    <w:rsid w:val="00CC4162"/>
    <w:rsid w:val="00CC4263"/>
    <w:rsid w:val="00CC467B"/>
    <w:rsid w:val="00CC4943"/>
    <w:rsid w:val="00CC5E99"/>
    <w:rsid w:val="00CC6210"/>
    <w:rsid w:val="00CC6484"/>
    <w:rsid w:val="00CC6965"/>
    <w:rsid w:val="00CC6BE2"/>
    <w:rsid w:val="00CC6C56"/>
    <w:rsid w:val="00CC6DC2"/>
    <w:rsid w:val="00CC7194"/>
    <w:rsid w:val="00CC7319"/>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33AC"/>
    <w:rsid w:val="00CD3754"/>
    <w:rsid w:val="00CD3DB1"/>
    <w:rsid w:val="00CD426B"/>
    <w:rsid w:val="00CD50E7"/>
    <w:rsid w:val="00CD537A"/>
    <w:rsid w:val="00CD5B46"/>
    <w:rsid w:val="00CD5CB6"/>
    <w:rsid w:val="00CD5D59"/>
    <w:rsid w:val="00CD5F22"/>
    <w:rsid w:val="00CD5F50"/>
    <w:rsid w:val="00CD64D0"/>
    <w:rsid w:val="00CD6646"/>
    <w:rsid w:val="00CD6A3B"/>
    <w:rsid w:val="00CD6C5A"/>
    <w:rsid w:val="00CD6D37"/>
    <w:rsid w:val="00CD6EFA"/>
    <w:rsid w:val="00CD72C2"/>
    <w:rsid w:val="00CD7302"/>
    <w:rsid w:val="00CD75B5"/>
    <w:rsid w:val="00CD76AD"/>
    <w:rsid w:val="00CD7C80"/>
    <w:rsid w:val="00CD7EBD"/>
    <w:rsid w:val="00CE0571"/>
    <w:rsid w:val="00CE08B9"/>
    <w:rsid w:val="00CE09A3"/>
    <w:rsid w:val="00CE113F"/>
    <w:rsid w:val="00CE1800"/>
    <w:rsid w:val="00CE1941"/>
    <w:rsid w:val="00CE1DD5"/>
    <w:rsid w:val="00CE202B"/>
    <w:rsid w:val="00CE2251"/>
    <w:rsid w:val="00CE2258"/>
    <w:rsid w:val="00CE23C3"/>
    <w:rsid w:val="00CE245A"/>
    <w:rsid w:val="00CE2815"/>
    <w:rsid w:val="00CE2D87"/>
    <w:rsid w:val="00CE2FD9"/>
    <w:rsid w:val="00CE3873"/>
    <w:rsid w:val="00CE3BEB"/>
    <w:rsid w:val="00CE3C2C"/>
    <w:rsid w:val="00CE3E3B"/>
    <w:rsid w:val="00CE43B3"/>
    <w:rsid w:val="00CE474A"/>
    <w:rsid w:val="00CE4A50"/>
    <w:rsid w:val="00CE4BD3"/>
    <w:rsid w:val="00CE4DE1"/>
    <w:rsid w:val="00CE4F41"/>
    <w:rsid w:val="00CE54C8"/>
    <w:rsid w:val="00CE566E"/>
    <w:rsid w:val="00CE6513"/>
    <w:rsid w:val="00CE65B6"/>
    <w:rsid w:val="00CE6BA7"/>
    <w:rsid w:val="00CE7087"/>
    <w:rsid w:val="00CE70F6"/>
    <w:rsid w:val="00CE764B"/>
    <w:rsid w:val="00CE7B9B"/>
    <w:rsid w:val="00CF0261"/>
    <w:rsid w:val="00CF04F8"/>
    <w:rsid w:val="00CF0521"/>
    <w:rsid w:val="00CF06F2"/>
    <w:rsid w:val="00CF0968"/>
    <w:rsid w:val="00CF09B9"/>
    <w:rsid w:val="00CF14C3"/>
    <w:rsid w:val="00CF1778"/>
    <w:rsid w:val="00CF1787"/>
    <w:rsid w:val="00CF1ACB"/>
    <w:rsid w:val="00CF1C8E"/>
    <w:rsid w:val="00CF1E49"/>
    <w:rsid w:val="00CF2232"/>
    <w:rsid w:val="00CF2F04"/>
    <w:rsid w:val="00CF35F4"/>
    <w:rsid w:val="00CF36BA"/>
    <w:rsid w:val="00CF395C"/>
    <w:rsid w:val="00CF39F5"/>
    <w:rsid w:val="00CF3A66"/>
    <w:rsid w:val="00CF43F5"/>
    <w:rsid w:val="00CF4466"/>
    <w:rsid w:val="00CF4568"/>
    <w:rsid w:val="00CF4DAF"/>
    <w:rsid w:val="00CF4E76"/>
    <w:rsid w:val="00CF55F2"/>
    <w:rsid w:val="00CF605F"/>
    <w:rsid w:val="00CF65CF"/>
    <w:rsid w:val="00CF675E"/>
    <w:rsid w:val="00CF69C4"/>
    <w:rsid w:val="00CF72CB"/>
    <w:rsid w:val="00CF74C7"/>
    <w:rsid w:val="00CF7835"/>
    <w:rsid w:val="00D00358"/>
    <w:rsid w:val="00D00374"/>
    <w:rsid w:val="00D0059D"/>
    <w:rsid w:val="00D00917"/>
    <w:rsid w:val="00D00B30"/>
    <w:rsid w:val="00D023A4"/>
    <w:rsid w:val="00D02438"/>
    <w:rsid w:val="00D025EB"/>
    <w:rsid w:val="00D0297C"/>
    <w:rsid w:val="00D02C1C"/>
    <w:rsid w:val="00D02F65"/>
    <w:rsid w:val="00D03059"/>
    <w:rsid w:val="00D03317"/>
    <w:rsid w:val="00D03595"/>
    <w:rsid w:val="00D037E1"/>
    <w:rsid w:val="00D039A6"/>
    <w:rsid w:val="00D03E14"/>
    <w:rsid w:val="00D03E34"/>
    <w:rsid w:val="00D03FDB"/>
    <w:rsid w:val="00D044E2"/>
    <w:rsid w:val="00D04702"/>
    <w:rsid w:val="00D04BC6"/>
    <w:rsid w:val="00D05035"/>
    <w:rsid w:val="00D0534B"/>
    <w:rsid w:val="00D05456"/>
    <w:rsid w:val="00D056C9"/>
    <w:rsid w:val="00D05D62"/>
    <w:rsid w:val="00D05D8B"/>
    <w:rsid w:val="00D062E0"/>
    <w:rsid w:val="00D0641A"/>
    <w:rsid w:val="00D06577"/>
    <w:rsid w:val="00D06887"/>
    <w:rsid w:val="00D06A10"/>
    <w:rsid w:val="00D06AAA"/>
    <w:rsid w:val="00D06F9A"/>
    <w:rsid w:val="00D0709B"/>
    <w:rsid w:val="00D0714E"/>
    <w:rsid w:val="00D07213"/>
    <w:rsid w:val="00D07403"/>
    <w:rsid w:val="00D07663"/>
    <w:rsid w:val="00D0781A"/>
    <w:rsid w:val="00D10442"/>
    <w:rsid w:val="00D10606"/>
    <w:rsid w:val="00D1093F"/>
    <w:rsid w:val="00D109E1"/>
    <w:rsid w:val="00D10B52"/>
    <w:rsid w:val="00D10E29"/>
    <w:rsid w:val="00D10E4B"/>
    <w:rsid w:val="00D11383"/>
    <w:rsid w:val="00D11389"/>
    <w:rsid w:val="00D1179F"/>
    <w:rsid w:val="00D11A7D"/>
    <w:rsid w:val="00D12554"/>
    <w:rsid w:val="00D12AC5"/>
    <w:rsid w:val="00D1349A"/>
    <w:rsid w:val="00D13796"/>
    <w:rsid w:val="00D1380D"/>
    <w:rsid w:val="00D13C87"/>
    <w:rsid w:val="00D13E67"/>
    <w:rsid w:val="00D13FCD"/>
    <w:rsid w:val="00D141F6"/>
    <w:rsid w:val="00D14219"/>
    <w:rsid w:val="00D14293"/>
    <w:rsid w:val="00D14A3F"/>
    <w:rsid w:val="00D15283"/>
    <w:rsid w:val="00D153D4"/>
    <w:rsid w:val="00D158C8"/>
    <w:rsid w:val="00D159C4"/>
    <w:rsid w:val="00D15D40"/>
    <w:rsid w:val="00D16813"/>
    <w:rsid w:val="00D16901"/>
    <w:rsid w:val="00D16B3D"/>
    <w:rsid w:val="00D16BB8"/>
    <w:rsid w:val="00D16CEE"/>
    <w:rsid w:val="00D16FFC"/>
    <w:rsid w:val="00D174AE"/>
    <w:rsid w:val="00D1753F"/>
    <w:rsid w:val="00D1767F"/>
    <w:rsid w:val="00D17E0B"/>
    <w:rsid w:val="00D20153"/>
    <w:rsid w:val="00D21262"/>
    <w:rsid w:val="00D2150C"/>
    <w:rsid w:val="00D216D1"/>
    <w:rsid w:val="00D21771"/>
    <w:rsid w:val="00D21839"/>
    <w:rsid w:val="00D21913"/>
    <w:rsid w:val="00D21D67"/>
    <w:rsid w:val="00D21EA4"/>
    <w:rsid w:val="00D21EC1"/>
    <w:rsid w:val="00D21FC2"/>
    <w:rsid w:val="00D224A0"/>
    <w:rsid w:val="00D22A19"/>
    <w:rsid w:val="00D22B4A"/>
    <w:rsid w:val="00D22EE5"/>
    <w:rsid w:val="00D22F63"/>
    <w:rsid w:val="00D232A9"/>
    <w:rsid w:val="00D2382D"/>
    <w:rsid w:val="00D23A4D"/>
    <w:rsid w:val="00D23A8C"/>
    <w:rsid w:val="00D23F9F"/>
    <w:rsid w:val="00D2429D"/>
    <w:rsid w:val="00D2432A"/>
    <w:rsid w:val="00D2437D"/>
    <w:rsid w:val="00D244D8"/>
    <w:rsid w:val="00D247D5"/>
    <w:rsid w:val="00D248D5"/>
    <w:rsid w:val="00D249F6"/>
    <w:rsid w:val="00D24D0D"/>
    <w:rsid w:val="00D2528E"/>
    <w:rsid w:val="00D253BD"/>
    <w:rsid w:val="00D25E62"/>
    <w:rsid w:val="00D25EF2"/>
    <w:rsid w:val="00D26264"/>
    <w:rsid w:val="00D26DD0"/>
    <w:rsid w:val="00D26E1D"/>
    <w:rsid w:val="00D2704A"/>
    <w:rsid w:val="00D277C5"/>
    <w:rsid w:val="00D27E5C"/>
    <w:rsid w:val="00D27F3A"/>
    <w:rsid w:val="00D30842"/>
    <w:rsid w:val="00D30CC3"/>
    <w:rsid w:val="00D3146A"/>
    <w:rsid w:val="00D317BA"/>
    <w:rsid w:val="00D31C83"/>
    <w:rsid w:val="00D3238F"/>
    <w:rsid w:val="00D32C89"/>
    <w:rsid w:val="00D32E6E"/>
    <w:rsid w:val="00D32FD2"/>
    <w:rsid w:val="00D33168"/>
    <w:rsid w:val="00D3319B"/>
    <w:rsid w:val="00D3382D"/>
    <w:rsid w:val="00D34C67"/>
    <w:rsid w:val="00D34F01"/>
    <w:rsid w:val="00D3532E"/>
    <w:rsid w:val="00D357F6"/>
    <w:rsid w:val="00D35E3F"/>
    <w:rsid w:val="00D36034"/>
    <w:rsid w:val="00D3650D"/>
    <w:rsid w:val="00D36A10"/>
    <w:rsid w:val="00D36B1F"/>
    <w:rsid w:val="00D36BEC"/>
    <w:rsid w:val="00D3785D"/>
    <w:rsid w:val="00D37BFA"/>
    <w:rsid w:val="00D37E27"/>
    <w:rsid w:val="00D4006E"/>
    <w:rsid w:val="00D406A6"/>
    <w:rsid w:val="00D406EA"/>
    <w:rsid w:val="00D408C5"/>
    <w:rsid w:val="00D40936"/>
    <w:rsid w:val="00D40ABE"/>
    <w:rsid w:val="00D40F95"/>
    <w:rsid w:val="00D41523"/>
    <w:rsid w:val="00D41F2E"/>
    <w:rsid w:val="00D42231"/>
    <w:rsid w:val="00D422BE"/>
    <w:rsid w:val="00D4247E"/>
    <w:rsid w:val="00D42506"/>
    <w:rsid w:val="00D427F9"/>
    <w:rsid w:val="00D42C8B"/>
    <w:rsid w:val="00D42F36"/>
    <w:rsid w:val="00D42FA9"/>
    <w:rsid w:val="00D4313E"/>
    <w:rsid w:val="00D43149"/>
    <w:rsid w:val="00D43249"/>
    <w:rsid w:val="00D43C41"/>
    <w:rsid w:val="00D443E3"/>
    <w:rsid w:val="00D44B8C"/>
    <w:rsid w:val="00D45675"/>
    <w:rsid w:val="00D45B8F"/>
    <w:rsid w:val="00D45C40"/>
    <w:rsid w:val="00D45FD5"/>
    <w:rsid w:val="00D46765"/>
    <w:rsid w:val="00D468D5"/>
    <w:rsid w:val="00D46AF6"/>
    <w:rsid w:val="00D47172"/>
    <w:rsid w:val="00D471B9"/>
    <w:rsid w:val="00D4737F"/>
    <w:rsid w:val="00D47C73"/>
    <w:rsid w:val="00D5036B"/>
    <w:rsid w:val="00D5065F"/>
    <w:rsid w:val="00D50AC7"/>
    <w:rsid w:val="00D51019"/>
    <w:rsid w:val="00D5187F"/>
    <w:rsid w:val="00D51DC9"/>
    <w:rsid w:val="00D520E4"/>
    <w:rsid w:val="00D5272F"/>
    <w:rsid w:val="00D5279A"/>
    <w:rsid w:val="00D52A8E"/>
    <w:rsid w:val="00D52B84"/>
    <w:rsid w:val="00D52C23"/>
    <w:rsid w:val="00D52DC2"/>
    <w:rsid w:val="00D52EA1"/>
    <w:rsid w:val="00D53412"/>
    <w:rsid w:val="00D534DA"/>
    <w:rsid w:val="00D53E05"/>
    <w:rsid w:val="00D53F1A"/>
    <w:rsid w:val="00D54BB9"/>
    <w:rsid w:val="00D54E26"/>
    <w:rsid w:val="00D54F16"/>
    <w:rsid w:val="00D55715"/>
    <w:rsid w:val="00D55B6B"/>
    <w:rsid w:val="00D55E22"/>
    <w:rsid w:val="00D561B9"/>
    <w:rsid w:val="00D56306"/>
    <w:rsid w:val="00D563B3"/>
    <w:rsid w:val="00D565C0"/>
    <w:rsid w:val="00D5677E"/>
    <w:rsid w:val="00D56885"/>
    <w:rsid w:val="00D56934"/>
    <w:rsid w:val="00D56B70"/>
    <w:rsid w:val="00D56C10"/>
    <w:rsid w:val="00D56D98"/>
    <w:rsid w:val="00D57124"/>
    <w:rsid w:val="00D57DFA"/>
    <w:rsid w:val="00D57EC9"/>
    <w:rsid w:val="00D60AF1"/>
    <w:rsid w:val="00D60B9C"/>
    <w:rsid w:val="00D60DF9"/>
    <w:rsid w:val="00D611A7"/>
    <w:rsid w:val="00D611FF"/>
    <w:rsid w:val="00D61B01"/>
    <w:rsid w:val="00D61BBA"/>
    <w:rsid w:val="00D625A5"/>
    <w:rsid w:val="00D62B56"/>
    <w:rsid w:val="00D634DE"/>
    <w:rsid w:val="00D634E8"/>
    <w:rsid w:val="00D63C81"/>
    <w:rsid w:val="00D63E06"/>
    <w:rsid w:val="00D6440F"/>
    <w:rsid w:val="00D64707"/>
    <w:rsid w:val="00D64952"/>
    <w:rsid w:val="00D64B5B"/>
    <w:rsid w:val="00D65107"/>
    <w:rsid w:val="00D6540B"/>
    <w:rsid w:val="00D6591F"/>
    <w:rsid w:val="00D663DA"/>
    <w:rsid w:val="00D6653E"/>
    <w:rsid w:val="00D66B01"/>
    <w:rsid w:val="00D67C88"/>
    <w:rsid w:val="00D67D7A"/>
    <w:rsid w:val="00D67E49"/>
    <w:rsid w:val="00D70039"/>
    <w:rsid w:val="00D7096A"/>
    <w:rsid w:val="00D70B0A"/>
    <w:rsid w:val="00D70E97"/>
    <w:rsid w:val="00D71207"/>
    <w:rsid w:val="00D7138F"/>
    <w:rsid w:val="00D715D8"/>
    <w:rsid w:val="00D71C66"/>
    <w:rsid w:val="00D7200D"/>
    <w:rsid w:val="00D72292"/>
    <w:rsid w:val="00D72624"/>
    <w:rsid w:val="00D729E9"/>
    <w:rsid w:val="00D72A2D"/>
    <w:rsid w:val="00D72E57"/>
    <w:rsid w:val="00D73CE2"/>
    <w:rsid w:val="00D740F6"/>
    <w:rsid w:val="00D74146"/>
    <w:rsid w:val="00D745AD"/>
    <w:rsid w:val="00D74D12"/>
    <w:rsid w:val="00D75219"/>
    <w:rsid w:val="00D75258"/>
    <w:rsid w:val="00D752BE"/>
    <w:rsid w:val="00D752FD"/>
    <w:rsid w:val="00D7567E"/>
    <w:rsid w:val="00D759FA"/>
    <w:rsid w:val="00D75C90"/>
    <w:rsid w:val="00D75E09"/>
    <w:rsid w:val="00D75EA9"/>
    <w:rsid w:val="00D76432"/>
    <w:rsid w:val="00D764B7"/>
    <w:rsid w:val="00D76EDE"/>
    <w:rsid w:val="00D7735B"/>
    <w:rsid w:val="00D775DC"/>
    <w:rsid w:val="00D779FC"/>
    <w:rsid w:val="00D77F82"/>
    <w:rsid w:val="00D803F9"/>
    <w:rsid w:val="00D80857"/>
    <w:rsid w:val="00D80FC2"/>
    <w:rsid w:val="00D81010"/>
    <w:rsid w:val="00D81535"/>
    <w:rsid w:val="00D815EF"/>
    <w:rsid w:val="00D81BC6"/>
    <w:rsid w:val="00D81C9F"/>
    <w:rsid w:val="00D82D11"/>
    <w:rsid w:val="00D82D14"/>
    <w:rsid w:val="00D82F05"/>
    <w:rsid w:val="00D82F9E"/>
    <w:rsid w:val="00D830F0"/>
    <w:rsid w:val="00D83155"/>
    <w:rsid w:val="00D832DA"/>
    <w:rsid w:val="00D834F9"/>
    <w:rsid w:val="00D83AD2"/>
    <w:rsid w:val="00D83FA5"/>
    <w:rsid w:val="00D840CF"/>
    <w:rsid w:val="00D84444"/>
    <w:rsid w:val="00D855E8"/>
    <w:rsid w:val="00D85C16"/>
    <w:rsid w:val="00D86770"/>
    <w:rsid w:val="00D86B88"/>
    <w:rsid w:val="00D86FF5"/>
    <w:rsid w:val="00D87477"/>
    <w:rsid w:val="00D87E90"/>
    <w:rsid w:val="00D87FDD"/>
    <w:rsid w:val="00D90303"/>
    <w:rsid w:val="00D907EF"/>
    <w:rsid w:val="00D90C92"/>
    <w:rsid w:val="00D90D43"/>
    <w:rsid w:val="00D90F12"/>
    <w:rsid w:val="00D90F80"/>
    <w:rsid w:val="00D9114D"/>
    <w:rsid w:val="00D91730"/>
    <w:rsid w:val="00D91F6D"/>
    <w:rsid w:val="00D92294"/>
    <w:rsid w:val="00D92E5C"/>
    <w:rsid w:val="00D9349C"/>
    <w:rsid w:val="00D93C96"/>
    <w:rsid w:val="00D93FEB"/>
    <w:rsid w:val="00D942E0"/>
    <w:rsid w:val="00D95924"/>
    <w:rsid w:val="00D95D40"/>
    <w:rsid w:val="00D96963"/>
    <w:rsid w:val="00D97357"/>
    <w:rsid w:val="00D977B3"/>
    <w:rsid w:val="00D977C3"/>
    <w:rsid w:val="00D97A63"/>
    <w:rsid w:val="00D97DA3"/>
    <w:rsid w:val="00D97DD4"/>
    <w:rsid w:val="00DA0177"/>
    <w:rsid w:val="00DA047E"/>
    <w:rsid w:val="00DA049D"/>
    <w:rsid w:val="00DA0A6E"/>
    <w:rsid w:val="00DA0DEA"/>
    <w:rsid w:val="00DA0FA5"/>
    <w:rsid w:val="00DA1502"/>
    <w:rsid w:val="00DA1850"/>
    <w:rsid w:val="00DA1A03"/>
    <w:rsid w:val="00DA20C3"/>
    <w:rsid w:val="00DA292C"/>
    <w:rsid w:val="00DA2AAD"/>
    <w:rsid w:val="00DA2ADD"/>
    <w:rsid w:val="00DA2DF5"/>
    <w:rsid w:val="00DA3542"/>
    <w:rsid w:val="00DA356A"/>
    <w:rsid w:val="00DA360F"/>
    <w:rsid w:val="00DA4271"/>
    <w:rsid w:val="00DA4881"/>
    <w:rsid w:val="00DA4A24"/>
    <w:rsid w:val="00DA4C83"/>
    <w:rsid w:val="00DA50A9"/>
    <w:rsid w:val="00DA50E4"/>
    <w:rsid w:val="00DA51CB"/>
    <w:rsid w:val="00DA5458"/>
    <w:rsid w:val="00DA56C2"/>
    <w:rsid w:val="00DA582F"/>
    <w:rsid w:val="00DA58BD"/>
    <w:rsid w:val="00DA5930"/>
    <w:rsid w:val="00DA6443"/>
    <w:rsid w:val="00DA6456"/>
    <w:rsid w:val="00DA6B4A"/>
    <w:rsid w:val="00DA6B83"/>
    <w:rsid w:val="00DA708C"/>
    <w:rsid w:val="00DA71F0"/>
    <w:rsid w:val="00DA72E3"/>
    <w:rsid w:val="00DA75C4"/>
    <w:rsid w:val="00DA7A51"/>
    <w:rsid w:val="00DA7D98"/>
    <w:rsid w:val="00DB0411"/>
    <w:rsid w:val="00DB07C4"/>
    <w:rsid w:val="00DB091F"/>
    <w:rsid w:val="00DB094C"/>
    <w:rsid w:val="00DB0F0F"/>
    <w:rsid w:val="00DB10BB"/>
    <w:rsid w:val="00DB1337"/>
    <w:rsid w:val="00DB1437"/>
    <w:rsid w:val="00DB15D2"/>
    <w:rsid w:val="00DB1F4D"/>
    <w:rsid w:val="00DB230C"/>
    <w:rsid w:val="00DB24A2"/>
    <w:rsid w:val="00DB2526"/>
    <w:rsid w:val="00DB38E6"/>
    <w:rsid w:val="00DB396C"/>
    <w:rsid w:val="00DB3B60"/>
    <w:rsid w:val="00DB4B6A"/>
    <w:rsid w:val="00DB5C8E"/>
    <w:rsid w:val="00DB662D"/>
    <w:rsid w:val="00DB6A93"/>
    <w:rsid w:val="00DB6E66"/>
    <w:rsid w:val="00DB714D"/>
    <w:rsid w:val="00DB7A9B"/>
    <w:rsid w:val="00DB7B2B"/>
    <w:rsid w:val="00DC0088"/>
    <w:rsid w:val="00DC0292"/>
    <w:rsid w:val="00DC065A"/>
    <w:rsid w:val="00DC0E65"/>
    <w:rsid w:val="00DC13DD"/>
    <w:rsid w:val="00DC1A15"/>
    <w:rsid w:val="00DC1C8F"/>
    <w:rsid w:val="00DC1D4F"/>
    <w:rsid w:val="00DC1D7B"/>
    <w:rsid w:val="00DC1EBF"/>
    <w:rsid w:val="00DC2BD3"/>
    <w:rsid w:val="00DC377A"/>
    <w:rsid w:val="00DC38A2"/>
    <w:rsid w:val="00DC3FAB"/>
    <w:rsid w:val="00DC4031"/>
    <w:rsid w:val="00DC4779"/>
    <w:rsid w:val="00DC57BD"/>
    <w:rsid w:val="00DC64FF"/>
    <w:rsid w:val="00DC70D6"/>
    <w:rsid w:val="00DC725C"/>
    <w:rsid w:val="00DC74A5"/>
    <w:rsid w:val="00DC7619"/>
    <w:rsid w:val="00DC7C8A"/>
    <w:rsid w:val="00DC7D0A"/>
    <w:rsid w:val="00DC7F73"/>
    <w:rsid w:val="00DD0368"/>
    <w:rsid w:val="00DD0873"/>
    <w:rsid w:val="00DD094F"/>
    <w:rsid w:val="00DD09D0"/>
    <w:rsid w:val="00DD0C2C"/>
    <w:rsid w:val="00DD0EA7"/>
    <w:rsid w:val="00DD1040"/>
    <w:rsid w:val="00DD1268"/>
    <w:rsid w:val="00DD1388"/>
    <w:rsid w:val="00DD18FA"/>
    <w:rsid w:val="00DD1AA4"/>
    <w:rsid w:val="00DD1D02"/>
    <w:rsid w:val="00DD2542"/>
    <w:rsid w:val="00DD2BD0"/>
    <w:rsid w:val="00DD2D57"/>
    <w:rsid w:val="00DD2E82"/>
    <w:rsid w:val="00DD3571"/>
    <w:rsid w:val="00DD36A8"/>
    <w:rsid w:val="00DD373F"/>
    <w:rsid w:val="00DD3E46"/>
    <w:rsid w:val="00DD40BA"/>
    <w:rsid w:val="00DD4495"/>
    <w:rsid w:val="00DD4A3C"/>
    <w:rsid w:val="00DD4B0E"/>
    <w:rsid w:val="00DD4BC3"/>
    <w:rsid w:val="00DD4C11"/>
    <w:rsid w:val="00DD4E23"/>
    <w:rsid w:val="00DD5DC5"/>
    <w:rsid w:val="00DD644C"/>
    <w:rsid w:val="00DD69DC"/>
    <w:rsid w:val="00DD6C37"/>
    <w:rsid w:val="00DD6DA7"/>
    <w:rsid w:val="00DD72D7"/>
    <w:rsid w:val="00DD78A4"/>
    <w:rsid w:val="00DD7C29"/>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B94"/>
    <w:rsid w:val="00DE403B"/>
    <w:rsid w:val="00DE4D08"/>
    <w:rsid w:val="00DE4F2C"/>
    <w:rsid w:val="00DE575D"/>
    <w:rsid w:val="00DE5DAF"/>
    <w:rsid w:val="00DE5DD1"/>
    <w:rsid w:val="00DE5F26"/>
    <w:rsid w:val="00DE656E"/>
    <w:rsid w:val="00DE6765"/>
    <w:rsid w:val="00DE6E4C"/>
    <w:rsid w:val="00DE703F"/>
    <w:rsid w:val="00DE7654"/>
    <w:rsid w:val="00DE7CAC"/>
    <w:rsid w:val="00DE7E9D"/>
    <w:rsid w:val="00DF007F"/>
    <w:rsid w:val="00DF0091"/>
    <w:rsid w:val="00DF02FE"/>
    <w:rsid w:val="00DF0416"/>
    <w:rsid w:val="00DF08AD"/>
    <w:rsid w:val="00DF0B02"/>
    <w:rsid w:val="00DF0C02"/>
    <w:rsid w:val="00DF0DAA"/>
    <w:rsid w:val="00DF13A6"/>
    <w:rsid w:val="00DF1585"/>
    <w:rsid w:val="00DF1B9A"/>
    <w:rsid w:val="00DF1E82"/>
    <w:rsid w:val="00DF213B"/>
    <w:rsid w:val="00DF2FAE"/>
    <w:rsid w:val="00DF4D23"/>
    <w:rsid w:val="00DF4D62"/>
    <w:rsid w:val="00DF585E"/>
    <w:rsid w:val="00DF5A41"/>
    <w:rsid w:val="00DF5FED"/>
    <w:rsid w:val="00DF6572"/>
    <w:rsid w:val="00DF7443"/>
    <w:rsid w:val="00DF75BF"/>
    <w:rsid w:val="00DF7B99"/>
    <w:rsid w:val="00DF7D2E"/>
    <w:rsid w:val="00DF7F45"/>
    <w:rsid w:val="00E000AB"/>
    <w:rsid w:val="00E0020C"/>
    <w:rsid w:val="00E00373"/>
    <w:rsid w:val="00E00B6C"/>
    <w:rsid w:val="00E01142"/>
    <w:rsid w:val="00E01365"/>
    <w:rsid w:val="00E01654"/>
    <w:rsid w:val="00E0208C"/>
    <w:rsid w:val="00E022E8"/>
    <w:rsid w:val="00E02431"/>
    <w:rsid w:val="00E029B6"/>
    <w:rsid w:val="00E029D3"/>
    <w:rsid w:val="00E03056"/>
    <w:rsid w:val="00E03114"/>
    <w:rsid w:val="00E03622"/>
    <w:rsid w:val="00E037B3"/>
    <w:rsid w:val="00E03BB8"/>
    <w:rsid w:val="00E03C20"/>
    <w:rsid w:val="00E04453"/>
    <w:rsid w:val="00E044B3"/>
    <w:rsid w:val="00E04577"/>
    <w:rsid w:val="00E046ED"/>
    <w:rsid w:val="00E04BD3"/>
    <w:rsid w:val="00E05481"/>
    <w:rsid w:val="00E05937"/>
    <w:rsid w:val="00E063BE"/>
    <w:rsid w:val="00E06840"/>
    <w:rsid w:val="00E068DB"/>
    <w:rsid w:val="00E0709E"/>
    <w:rsid w:val="00E0713A"/>
    <w:rsid w:val="00E0719B"/>
    <w:rsid w:val="00E075E2"/>
    <w:rsid w:val="00E079AA"/>
    <w:rsid w:val="00E103CD"/>
    <w:rsid w:val="00E104D8"/>
    <w:rsid w:val="00E105BC"/>
    <w:rsid w:val="00E10779"/>
    <w:rsid w:val="00E10DEE"/>
    <w:rsid w:val="00E11054"/>
    <w:rsid w:val="00E11BF1"/>
    <w:rsid w:val="00E11D50"/>
    <w:rsid w:val="00E11DAD"/>
    <w:rsid w:val="00E11E28"/>
    <w:rsid w:val="00E11E59"/>
    <w:rsid w:val="00E1200B"/>
    <w:rsid w:val="00E12599"/>
    <w:rsid w:val="00E1287C"/>
    <w:rsid w:val="00E129B7"/>
    <w:rsid w:val="00E12C8E"/>
    <w:rsid w:val="00E12D60"/>
    <w:rsid w:val="00E13935"/>
    <w:rsid w:val="00E13C74"/>
    <w:rsid w:val="00E13DB3"/>
    <w:rsid w:val="00E143EE"/>
    <w:rsid w:val="00E14463"/>
    <w:rsid w:val="00E14534"/>
    <w:rsid w:val="00E14EF6"/>
    <w:rsid w:val="00E1501C"/>
    <w:rsid w:val="00E154C7"/>
    <w:rsid w:val="00E1563F"/>
    <w:rsid w:val="00E15B26"/>
    <w:rsid w:val="00E15DA7"/>
    <w:rsid w:val="00E15DCC"/>
    <w:rsid w:val="00E15F4B"/>
    <w:rsid w:val="00E15FF4"/>
    <w:rsid w:val="00E1632F"/>
    <w:rsid w:val="00E169D5"/>
    <w:rsid w:val="00E177F5"/>
    <w:rsid w:val="00E17857"/>
    <w:rsid w:val="00E178DE"/>
    <w:rsid w:val="00E17C27"/>
    <w:rsid w:val="00E17C64"/>
    <w:rsid w:val="00E17C68"/>
    <w:rsid w:val="00E17F77"/>
    <w:rsid w:val="00E20024"/>
    <w:rsid w:val="00E20640"/>
    <w:rsid w:val="00E20DA0"/>
    <w:rsid w:val="00E210E0"/>
    <w:rsid w:val="00E217A4"/>
    <w:rsid w:val="00E21821"/>
    <w:rsid w:val="00E21B04"/>
    <w:rsid w:val="00E21C64"/>
    <w:rsid w:val="00E2214E"/>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D3B"/>
    <w:rsid w:val="00E25340"/>
    <w:rsid w:val="00E25513"/>
    <w:rsid w:val="00E257C4"/>
    <w:rsid w:val="00E25979"/>
    <w:rsid w:val="00E259DE"/>
    <w:rsid w:val="00E25C77"/>
    <w:rsid w:val="00E26A7B"/>
    <w:rsid w:val="00E26AA8"/>
    <w:rsid w:val="00E270F4"/>
    <w:rsid w:val="00E272B0"/>
    <w:rsid w:val="00E27880"/>
    <w:rsid w:val="00E301FB"/>
    <w:rsid w:val="00E30353"/>
    <w:rsid w:val="00E30743"/>
    <w:rsid w:val="00E30904"/>
    <w:rsid w:val="00E30BD4"/>
    <w:rsid w:val="00E30D58"/>
    <w:rsid w:val="00E30DD9"/>
    <w:rsid w:val="00E30F5C"/>
    <w:rsid w:val="00E31759"/>
    <w:rsid w:val="00E31A05"/>
    <w:rsid w:val="00E31CC6"/>
    <w:rsid w:val="00E31ECA"/>
    <w:rsid w:val="00E322EF"/>
    <w:rsid w:val="00E32650"/>
    <w:rsid w:val="00E32660"/>
    <w:rsid w:val="00E3297C"/>
    <w:rsid w:val="00E32E6E"/>
    <w:rsid w:val="00E33141"/>
    <w:rsid w:val="00E3325B"/>
    <w:rsid w:val="00E33BF0"/>
    <w:rsid w:val="00E34A20"/>
    <w:rsid w:val="00E34A2A"/>
    <w:rsid w:val="00E34C45"/>
    <w:rsid w:val="00E34D20"/>
    <w:rsid w:val="00E34D60"/>
    <w:rsid w:val="00E351AD"/>
    <w:rsid w:val="00E3524B"/>
    <w:rsid w:val="00E35767"/>
    <w:rsid w:val="00E35999"/>
    <w:rsid w:val="00E35A10"/>
    <w:rsid w:val="00E35D48"/>
    <w:rsid w:val="00E35E76"/>
    <w:rsid w:val="00E36422"/>
    <w:rsid w:val="00E36444"/>
    <w:rsid w:val="00E36A70"/>
    <w:rsid w:val="00E375C3"/>
    <w:rsid w:val="00E376F3"/>
    <w:rsid w:val="00E37F61"/>
    <w:rsid w:val="00E4026C"/>
    <w:rsid w:val="00E4069F"/>
    <w:rsid w:val="00E407A8"/>
    <w:rsid w:val="00E41388"/>
    <w:rsid w:val="00E41B0F"/>
    <w:rsid w:val="00E41BAC"/>
    <w:rsid w:val="00E4211C"/>
    <w:rsid w:val="00E422E3"/>
    <w:rsid w:val="00E428BD"/>
    <w:rsid w:val="00E42A27"/>
    <w:rsid w:val="00E43301"/>
    <w:rsid w:val="00E43424"/>
    <w:rsid w:val="00E4353F"/>
    <w:rsid w:val="00E43773"/>
    <w:rsid w:val="00E43CDA"/>
    <w:rsid w:val="00E43DF8"/>
    <w:rsid w:val="00E43F05"/>
    <w:rsid w:val="00E4400F"/>
    <w:rsid w:val="00E4407F"/>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8E9"/>
    <w:rsid w:val="00E5098D"/>
    <w:rsid w:val="00E50C66"/>
    <w:rsid w:val="00E50D97"/>
    <w:rsid w:val="00E5114D"/>
    <w:rsid w:val="00E51485"/>
    <w:rsid w:val="00E515C3"/>
    <w:rsid w:val="00E51A35"/>
    <w:rsid w:val="00E51C3F"/>
    <w:rsid w:val="00E51FFD"/>
    <w:rsid w:val="00E52282"/>
    <w:rsid w:val="00E5264A"/>
    <w:rsid w:val="00E5333A"/>
    <w:rsid w:val="00E534E3"/>
    <w:rsid w:val="00E536E1"/>
    <w:rsid w:val="00E53A02"/>
    <w:rsid w:val="00E53BFE"/>
    <w:rsid w:val="00E53CBC"/>
    <w:rsid w:val="00E53E97"/>
    <w:rsid w:val="00E546A1"/>
    <w:rsid w:val="00E54838"/>
    <w:rsid w:val="00E54C71"/>
    <w:rsid w:val="00E55486"/>
    <w:rsid w:val="00E55944"/>
    <w:rsid w:val="00E55ABC"/>
    <w:rsid w:val="00E55BDB"/>
    <w:rsid w:val="00E55DC4"/>
    <w:rsid w:val="00E560B0"/>
    <w:rsid w:val="00E56162"/>
    <w:rsid w:val="00E56191"/>
    <w:rsid w:val="00E562D5"/>
    <w:rsid w:val="00E56639"/>
    <w:rsid w:val="00E568B4"/>
    <w:rsid w:val="00E569C5"/>
    <w:rsid w:val="00E56B79"/>
    <w:rsid w:val="00E574B4"/>
    <w:rsid w:val="00E57B74"/>
    <w:rsid w:val="00E60118"/>
    <w:rsid w:val="00E601AD"/>
    <w:rsid w:val="00E6081B"/>
    <w:rsid w:val="00E6129F"/>
    <w:rsid w:val="00E618C6"/>
    <w:rsid w:val="00E61A44"/>
    <w:rsid w:val="00E6214B"/>
    <w:rsid w:val="00E623EB"/>
    <w:rsid w:val="00E625E0"/>
    <w:rsid w:val="00E63454"/>
    <w:rsid w:val="00E6346E"/>
    <w:rsid w:val="00E637F5"/>
    <w:rsid w:val="00E63B83"/>
    <w:rsid w:val="00E63D36"/>
    <w:rsid w:val="00E63EFE"/>
    <w:rsid w:val="00E64183"/>
    <w:rsid w:val="00E645B1"/>
    <w:rsid w:val="00E64F2F"/>
    <w:rsid w:val="00E64F57"/>
    <w:rsid w:val="00E6526F"/>
    <w:rsid w:val="00E655AC"/>
    <w:rsid w:val="00E656CB"/>
    <w:rsid w:val="00E656F0"/>
    <w:rsid w:val="00E65FCD"/>
    <w:rsid w:val="00E662C1"/>
    <w:rsid w:val="00E663E7"/>
    <w:rsid w:val="00E669EA"/>
    <w:rsid w:val="00E671DC"/>
    <w:rsid w:val="00E6726E"/>
    <w:rsid w:val="00E672F3"/>
    <w:rsid w:val="00E67493"/>
    <w:rsid w:val="00E67D1B"/>
    <w:rsid w:val="00E67EB2"/>
    <w:rsid w:val="00E706BF"/>
    <w:rsid w:val="00E70FE8"/>
    <w:rsid w:val="00E71047"/>
    <w:rsid w:val="00E71508"/>
    <w:rsid w:val="00E717A5"/>
    <w:rsid w:val="00E717CC"/>
    <w:rsid w:val="00E71868"/>
    <w:rsid w:val="00E72370"/>
    <w:rsid w:val="00E723ED"/>
    <w:rsid w:val="00E72400"/>
    <w:rsid w:val="00E72B4E"/>
    <w:rsid w:val="00E72D87"/>
    <w:rsid w:val="00E7309D"/>
    <w:rsid w:val="00E730D5"/>
    <w:rsid w:val="00E731A4"/>
    <w:rsid w:val="00E7359F"/>
    <w:rsid w:val="00E738FA"/>
    <w:rsid w:val="00E73D71"/>
    <w:rsid w:val="00E740AC"/>
    <w:rsid w:val="00E745C3"/>
    <w:rsid w:val="00E74851"/>
    <w:rsid w:val="00E749ED"/>
    <w:rsid w:val="00E74BAE"/>
    <w:rsid w:val="00E74BB8"/>
    <w:rsid w:val="00E74E82"/>
    <w:rsid w:val="00E7521D"/>
    <w:rsid w:val="00E75700"/>
    <w:rsid w:val="00E75AF2"/>
    <w:rsid w:val="00E7633B"/>
    <w:rsid w:val="00E7649A"/>
    <w:rsid w:val="00E768AD"/>
    <w:rsid w:val="00E76B0C"/>
    <w:rsid w:val="00E76C6C"/>
    <w:rsid w:val="00E76DA2"/>
    <w:rsid w:val="00E7720D"/>
    <w:rsid w:val="00E77274"/>
    <w:rsid w:val="00E77478"/>
    <w:rsid w:val="00E77556"/>
    <w:rsid w:val="00E77EB4"/>
    <w:rsid w:val="00E8016D"/>
    <w:rsid w:val="00E8030D"/>
    <w:rsid w:val="00E804C9"/>
    <w:rsid w:val="00E805A0"/>
    <w:rsid w:val="00E80878"/>
    <w:rsid w:val="00E81272"/>
    <w:rsid w:val="00E812D5"/>
    <w:rsid w:val="00E822BA"/>
    <w:rsid w:val="00E82502"/>
    <w:rsid w:val="00E82634"/>
    <w:rsid w:val="00E8266A"/>
    <w:rsid w:val="00E8288E"/>
    <w:rsid w:val="00E828D2"/>
    <w:rsid w:val="00E82F61"/>
    <w:rsid w:val="00E83225"/>
    <w:rsid w:val="00E83583"/>
    <w:rsid w:val="00E83B6C"/>
    <w:rsid w:val="00E843B8"/>
    <w:rsid w:val="00E8461D"/>
    <w:rsid w:val="00E849DA"/>
    <w:rsid w:val="00E84B6C"/>
    <w:rsid w:val="00E84BF0"/>
    <w:rsid w:val="00E854CF"/>
    <w:rsid w:val="00E85A67"/>
    <w:rsid w:val="00E85C5A"/>
    <w:rsid w:val="00E8629F"/>
    <w:rsid w:val="00E86499"/>
    <w:rsid w:val="00E8673C"/>
    <w:rsid w:val="00E8692B"/>
    <w:rsid w:val="00E87526"/>
    <w:rsid w:val="00E87634"/>
    <w:rsid w:val="00E8784E"/>
    <w:rsid w:val="00E913F9"/>
    <w:rsid w:val="00E91817"/>
    <w:rsid w:val="00E91D56"/>
    <w:rsid w:val="00E920D8"/>
    <w:rsid w:val="00E923ED"/>
    <w:rsid w:val="00E92855"/>
    <w:rsid w:val="00E92F4F"/>
    <w:rsid w:val="00E93089"/>
    <w:rsid w:val="00E93697"/>
    <w:rsid w:val="00E938B7"/>
    <w:rsid w:val="00E93987"/>
    <w:rsid w:val="00E93D11"/>
    <w:rsid w:val="00E9432D"/>
    <w:rsid w:val="00E94347"/>
    <w:rsid w:val="00E9469B"/>
    <w:rsid w:val="00E9471C"/>
    <w:rsid w:val="00E9473A"/>
    <w:rsid w:val="00E947C2"/>
    <w:rsid w:val="00E94CCA"/>
    <w:rsid w:val="00E95081"/>
    <w:rsid w:val="00E954CC"/>
    <w:rsid w:val="00E955F8"/>
    <w:rsid w:val="00E956FD"/>
    <w:rsid w:val="00E958B4"/>
    <w:rsid w:val="00E95AF9"/>
    <w:rsid w:val="00E96562"/>
    <w:rsid w:val="00E96620"/>
    <w:rsid w:val="00E96A39"/>
    <w:rsid w:val="00E96CFE"/>
    <w:rsid w:val="00E97075"/>
    <w:rsid w:val="00E973C3"/>
    <w:rsid w:val="00E97674"/>
    <w:rsid w:val="00E9769F"/>
    <w:rsid w:val="00EA06A6"/>
    <w:rsid w:val="00EA082D"/>
    <w:rsid w:val="00EA09D3"/>
    <w:rsid w:val="00EA0A2A"/>
    <w:rsid w:val="00EA0A8D"/>
    <w:rsid w:val="00EA0C19"/>
    <w:rsid w:val="00EA0E43"/>
    <w:rsid w:val="00EA1626"/>
    <w:rsid w:val="00EA1E1D"/>
    <w:rsid w:val="00EA1E67"/>
    <w:rsid w:val="00EA2A89"/>
    <w:rsid w:val="00EA2DC7"/>
    <w:rsid w:val="00EA2F3C"/>
    <w:rsid w:val="00EA35B9"/>
    <w:rsid w:val="00EA3C24"/>
    <w:rsid w:val="00EA3CF6"/>
    <w:rsid w:val="00EA4465"/>
    <w:rsid w:val="00EA497A"/>
    <w:rsid w:val="00EA5319"/>
    <w:rsid w:val="00EA5419"/>
    <w:rsid w:val="00EA55FB"/>
    <w:rsid w:val="00EA5997"/>
    <w:rsid w:val="00EA5D92"/>
    <w:rsid w:val="00EA5E4B"/>
    <w:rsid w:val="00EA6154"/>
    <w:rsid w:val="00EA63AF"/>
    <w:rsid w:val="00EA6CF1"/>
    <w:rsid w:val="00EA6DE5"/>
    <w:rsid w:val="00EA7DFC"/>
    <w:rsid w:val="00EB02AC"/>
    <w:rsid w:val="00EB06CA"/>
    <w:rsid w:val="00EB0756"/>
    <w:rsid w:val="00EB0AB6"/>
    <w:rsid w:val="00EB0BD0"/>
    <w:rsid w:val="00EB0DC4"/>
    <w:rsid w:val="00EB17BA"/>
    <w:rsid w:val="00EB181F"/>
    <w:rsid w:val="00EB1B74"/>
    <w:rsid w:val="00EB1F08"/>
    <w:rsid w:val="00EB22C8"/>
    <w:rsid w:val="00EB2451"/>
    <w:rsid w:val="00EB2D96"/>
    <w:rsid w:val="00EB2F6F"/>
    <w:rsid w:val="00EB2FBD"/>
    <w:rsid w:val="00EB312A"/>
    <w:rsid w:val="00EB367D"/>
    <w:rsid w:val="00EB3A42"/>
    <w:rsid w:val="00EB4084"/>
    <w:rsid w:val="00EB411B"/>
    <w:rsid w:val="00EB44E3"/>
    <w:rsid w:val="00EB4AD2"/>
    <w:rsid w:val="00EB5246"/>
    <w:rsid w:val="00EB5742"/>
    <w:rsid w:val="00EB68AA"/>
    <w:rsid w:val="00EB6963"/>
    <w:rsid w:val="00EB6999"/>
    <w:rsid w:val="00EB6ABA"/>
    <w:rsid w:val="00EB6B98"/>
    <w:rsid w:val="00EB6DF3"/>
    <w:rsid w:val="00EB6E97"/>
    <w:rsid w:val="00EB7ED2"/>
    <w:rsid w:val="00EB7F31"/>
    <w:rsid w:val="00EC0F03"/>
    <w:rsid w:val="00EC106D"/>
    <w:rsid w:val="00EC1415"/>
    <w:rsid w:val="00EC1A2A"/>
    <w:rsid w:val="00EC1D04"/>
    <w:rsid w:val="00EC200E"/>
    <w:rsid w:val="00EC217B"/>
    <w:rsid w:val="00EC224A"/>
    <w:rsid w:val="00EC23A9"/>
    <w:rsid w:val="00EC2885"/>
    <w:rsid w:val="00EC2DD7"/>
    <w:rsid w:val="00EC345F"/>
    <w:rsid w:val="00EC3B10"/>
    <w:rsid w:val="00EC3CB0"/>
    <w:rsid w:val="00EC4465"/>
    <w:rsid w:val="00EC4840"/>
    <w:rsid w:val="00EC4961"/>
    <w:rsid w:val="00EC4B52"/>
    <w:rsid w:val="00EC4D86"/>
    <w:rsid w:val="00EC50A3"/>
    <w:rsid w:val="00EC565F"/>
    <w:rsid w:val="00EC5D1C"/>
    <w:rsid w:val="00EC5EC2"/>
    <w:rsid w:val="00EC5EC6"/>
    <w:rsid w:val="00EC69F6"/>
    <w:rsid w:val="00EC6D9A"/>
    <w:rsid w:val="00EC6DE3"/>
    <w:rsid w:val="00EC6EE5"/>
    <w:rsid w:val="00EC76A2"/>
    <w:rsid w:val="00EC76B6"/>
    <w:rsid w:val="00EC7F18"/>
    <w:rsid w:val="00ED018F"/>
    <w:rsid w:val="00ED02B4"/>
    <w:rsid w:val="00ED066D"/>
    <w:rsid w:val="00ED06BA"/>
    <w:rsid w:val="00ED07CF"/>
    <w:rsid w:val="00ED12ED"/>
    <w:rsid w:val="00ED1661"/>
    <w:rsid w:val="00ED1923"/>
    <w:rsid w:val="00ED1A2A"/>
    <w:rsid w:val="00ED1B87"/>
    <w:rsid w:val="00ED1DEA"/>
    <w:rsid w:val="00ED2268"/>
    <w:rsid w:val="00ED2F27"/>
    <w:rsid w:val="00ED2FF0"/>
    <w:rsid w:val="00ED31C6"/>
    <w:rsid w:val="00ED3774"/>
    <w:rsid w:val="00ED3D80"/>
    <w:rsid w:val="00ED3DDB"/>
    <w:rsid w:val="00ED3E2C"/>
    <w:rsid w:val="00ED3ECC"/>
    <w:rsid w:val="00ED42D8"/>
    <w:rsid w:val="00ED456E"/>
    <w:rsid w:val="00ED508C"/>
    <w:rsid w:val="00ED50EC"/>
    <w:rsid w:val="00ED5880"/>
    <w:rsid w:val="00ED5890"/>
    <w:rsid w:val="00ED5F64"/>
    <w:rsid w:val="00ED6668"/>
    <w:rsid w:val="00ED6895"/>
    <w:rsid w:val="00ED6C78"/>
    <w:rsid w:val="00ED6D9D"/>
    <w:rsid w:val="00ED6FB9"/>
    <w:rsid w:val="00ED721F"/>
    <w:rsid w:val="00ED72CD"/>
    <w:rsid w:val="00ED7559"/>
    <w:rsid w:val="00ED761B"/>
    <w:rsid w:val="00ED76D1"/>
    <w:rsid w:val="00EE014A"/>
    <w:rsid w:val="00EE084A"/>
    <w:rsid w:val="00EE133B"/>
    <w:rsid w:val="00EE15C1"/>
    <w:rsid w:val="00EE1751"/>
    <w:rsid w:val="00EE1902"/>
    <w:rsid w:val="00EE1DB7"/>
    <w:rsid w:val="00EE1F90"/>
    <w:rsid w:val="00EE2572"/>
    <w:rsid w:val="00EE2BDD"/>
    <w:rsid w:val="00EE333F"/>
    <w:rsid w:val="00EE3619"/>
    <w:rsid w:val="00EE39AA"/>
    <w:rsid w:val="00EE3ADA"/>
    <w:rsid w:val="00EE3E05"/>
    <w:rsid w:val="00EE3E5A"/>
    <w:rsid w:val="00EE465A"/>
    <w:rsid w:val="00EE4792"/>
    <w:rsid w:val="00EE495A"/>
    <w:rsid w:val="00EE4D8F"/>
    <w:rsid w:val="00EE51D8"/>
    <w:rsid w:val="00EE52FC"/>
    <w:rsid w:val="00EE5541"/>
    <w:rsid w:val="00EE56D9"/>
    <w:rsid w:val="00EE56F6"/>
    <w:rsid w:val="00EE57AF"/>
    <w:rsid w:val="00EE5943"/>
    <w:rsid w:val="00EE5B78"/>
    <w:rsid w:val="00EE6154"/>
    <w:rsid w:val="00EE61D9"/>
    <w:rsid w:val="00EE698F"/>
    <w:rsid w:val="00EE6A25"/>
    <w:rsid w:val="00EE6C34"/>
    <w:rsid w:val="00EE6EF1"/>
    <w:rsid w:val="00EE75EE"/>
    <w:rsid w:val="00EE78ED"/>
    <w:rsid w:val="00EE7953"/>
    <w:rsid w:val="00EE7A59"/>
    <w:rsid w:val="00EE7B21"/>
    <w:rsid w:val="00EF0041"/>
    <w:rsid w:val="00EF0755"/>
    <w:rsid w:val="00EF07A7"/>
    <w:rsid w:val="00EF0979"/>
    <w:rsid w:val="00EF0E82"/>
    <w:rsid w:val="00EF103A"/>
    <w:rsid w:val="00EF14FA"/>
    <w:rsid w:val="00EF15B7"/>
    <w:rsid w:val="00EF18B9"/>
    <w:rsid w:val="00EF1AAD"/>
    <w:rsid w:val="00EF1D83"/>
    <w:rsid w:val="00EF21A2"/>
    <w:rsid w:val="00EF27ED"/>
    <w:rsid w:val="00EF2C10"/>
    <w:rsid w:val="00EF35DB"/>
    <w:rsid w:val="00EF37E3"/>
    <w:rsid w:val="00EF4008"/>
    <w:rsid w:val="00EF557F"/>
    <w:rsid w:val="00EF5987"/>
    <w:rsid w:val="00EF5ABA"/>
    <w:rsid w:val="00EF5BA3"/>
    <w:rsid w:val="00EF5DA7"/>
    <w:rsid w:val="00EF67BC"/>
    <w:rsid w:val="00EF6956"/>
    <w:rsid w:val="00EF7585"/>
    <w:rsid w:val="00EF7781"/>
    <w:rsid w:val="00EF77A0"/>
    <w:rsid w:val="00EF794F"/>
    <w:rsid w:val="00EF79F1"/>
    <w:rsid w:val="00EF7F0B"/>
    <w:rsid w:val="00EF7F5D"/>
    <w:rsid w:val="00F00296"/>
    <w:rsid w:val="00F0064F"/>
    <w:rsid w:val="00F00847"/>
    <w:rsid w:val="00F01172"/>
    <w:rsid w:val="00F015D7"/>
    <w:rsid w:val="00F01886"/>
    <w:rsid w:val="00F01A97"/>
    <w:rsid w:val="00F01F38"/>
    <w:rsid w:val="00F0229C"/>
    <w:rsid w:val="00F02B54"/>
    <w:rsid w:val="00F03173"/>
    <w:rsid w:val="00F033B2"/>
    <w:rsid w:val="00F035EB"/>
    <w:rsid w:val="00F03923"/>
    <w:rsid w:val="00F03A4A"/>
    <w:rsid w:val="00F03C9B"/>
    <w:rsid w:val="00F03E04"/>
    <w:rsid w:val="00F04044"/>
    <w:rsid w:val="00F048F7"/>
    <w:rsid w:val="00F04D60"/>
    <w:rsid w:val="00F0517B"/>
    <w:rsid w:val="00F05305"/>
    <w:rsid w:val="00F05B85"/>
    <w:rsid w:val="00F05D0B"/>
    <w:rsid w:val="00F05E36"/>
    <w:rsid w:val="00F05E95"/>
    <w:rsid w:val="00F06344"/>
    <w:rsid w:val="00F06722"/>
    <w:rsid w:val="00F06A1B"/>
    <w:rsid w:val="00F06A4F"/>
    <w:rsid w:val="00F072D8"/>
    <w:rsid w:val="00F07650"/>
    <w:rsid w:val="00F07860"/>
    <w:rsid w:val="00F0795C"/>
    <w:rsid w:val="00F07AC2"/>
    <w:rsid w:val="00F07D1B"/>
    <w:rsid w:val="00F101AA"/>
    <w:rsid w:val="00F101BF"/>
    <w:rsid w:val="00F1040F"/>
    <w:rsid w:val="00F10A7C"/>
    <w:rsid w:val="00F10DF7"/>
    <w:rsid w:val="00F10F03"/>
    <w:rsid w:val="00F11E6A"/>
    <w:rsid w:val="00F11F4D"/>
    <w:rsid w:val="00F11F6E"/>
    <w:rsid w:val="00F11FA7"/>
    <w:rsid w:val="00F11FEF"/>
    <w:rsid w:val="00F1254F"/>
    <w:rsid w:val="00F1297E"/>
    <w:rsid w:val="00F12CB9"/>
    <w:rsid w:val="00F133B9"/>
    <w:rsid w:val="00F13733"/>
    <w:rsid w:val="00F13932"/>
    <w:rsid w:val="00F144CD"/>
    <w:rsid w:val="00F1477C"/>
    <w:rsid w:val="00F14983"/>
    <w:rsid w:val="00F14DCA"/>
    <w:rsid w:val="00F14E5B"/>
    <w:rsid w:val="00F1549A"/>
    <w:rsid w:val="00F15877"/>
    <w:rsid w:val="00F15A88"/>
    <w:rsid w:val="00F16503"/>
    <w:rsid w:val="00F165D8"/>
    <w:rsid w:val="00F16CBA"/>
    <w:rsid w:val="00F172B8"/>
    <w:rsid w:val="00F1799A"/>
    <w:rsid w:val="00F17F4E"/>
    <w:rsid w:val="00F2020B"/>
    <w:rsid w:val="00F2042B"/>
    <w:rsid w:val="00F207AB"/>
    <w:rsid w:val="00F20A0A"/>
    <w:rsid w:val="00F21549"/>
    <w:rsid w:val="00F21BA0"/>
    <w:rsid w:val="00F21D67"/>
    <w:rsid w:val="00F225DB"/>
    <w:rsid w:val="00F22811"/>
    <w:rsid w:val="00F22FC8"/>
    <w:rsid w:val="00F23838"/>
    <w:rsid w:val="00F23ADB"/>
    <w:rsid w:val="00F23B7B"/>
    <w:rsid w:val="00F23F01"/>
    <w:rsid w:val="00F240FB"/>
    <w:rsid w:val="00F243B6"/>
    <w:rsid w:val="00F243C6"/>
    <w:rsid w:val="00F243F1"/>
    <w:rsid w:val="00F24752"/>
    <w:rsid w:val="00F248E4"/>
    <w:rsid w:val="00F251D1"/>
    <w:rsid w:val="00F25222"/>
    <w:rsid w:val="00F254D2"/>
    <w:rsid w:val="00F257D7"/>
    <w:rsid w:val="00F26179"/>
    <w:rsid w:val="00F2629B"/>
    <w:rsid w:val="00F26345"/>
    <w:rsid w:val="00F26346"/>
    <w:rsid w:val="00F2657E"/>
    <w:rsid w:val="00F269D4"/>
    <w:rsid w:val="00F26B11"/>
    <w:rsid w:val="00F26EFC"/>
    <w:rsid w:val="00F26F88"/>
    <w:rsid w:val="00F2704D"/>
    <w:rsid w:val="00F27202"/>
    <w:rsid w:val="00F2794D"/>
    <w:rsid w:val="00F27A01"/>
    <w:rsid w:val="00F30002"/>
    <w:rsid w:val="00F300DC"/>
    <w:rsid w:val="00F3047B"/>
    <w:rsid w:val="00F30760"/>
    <w:rsid w:val="00F30C58"/>
    <w:rsid w:val="00F30DEA"/>
    <w:rsid w:val="00F31095"/>
    <w:rsid w:val="00F31936"/>
    <w:rsid w:val="00F31DFD"/>
    <w:rsid w:val="00F31F50"/>
    <w:rsid w:val="00F320F5"/>
    <w:rsid w:val="00F3253C"/>
    <w:rsid w:val="00F32714"/>
    <w:rsid w:val="00F328A1"/>
    <w:rsid w:val="00F32A31"/>
    <w:rsid w:val="00F32AD1"/>
    <w:rsid w:val="00F32BDA"/>
    <w:rsid w:val="00F32D61"/>
    <w:rsid w:val="00F3342A"/>
    <w:rsid w:val="00F338E3"/>
    <w:rsid w:val="00F33EE0"/>
    <w:rsid w:val="00F33FCF"/>
    <w:rsid w:val="00F3423B"/>
    <w:rsid w:val="00F342FC"/>
    <w:rsid w:val="00F34324"/>
    <w:rsid w:val="00F34C42"/>
    <w:rsid w:val="00F35123"/>
    <w:rsid w:val="00F35339"/>
    <w:rsid w:val="00F35B54"/>
    <w:rsid w:val="00F35D77"/>
    <w:rsid w:val="00F35D81"/>
    <w:rsid w:val="00F3609E"/>
    <w:rsid w:val="00F376D0"/>
    <w:rsid w:val="00F37DA7"/>
    <w:rsid w:val="00F37DFA"/>
    <w:rsid w:val="00F40F6C"/>
    <w:rsid w:val="00F410E1"/>
    <w:rsid w:val="00F4138E"/>
    <w:rsid w:val="00F415BB"/>
    <w:rsid w:val="00F4183B"/>
    <w:rsid w:val="00F41CB4"/>
    <w:rsid w:val="00F41DCA"/>
    <w:rsid w:val="00F42105"/>
    <w:rsid w:val="00F42299"/>
    <w:rsid w:val="00F423C3"/>
    <w:rsid w:val="00F42679"/>
    <w:rsid w:val="00F42E13"/>
    <w:rsid w:val="00F4349A"/>
    <w:rsid w:val="00F43BC4"/>
    <w:rsid w:val="00F44175"/>
    <w:rsid w:val="00F44D00"/>
    <w:rsid w:val="00F44D13"/>
    <w:rsid w:val="00F44F23"/>
    <w:rsid w:val="00F45267"/>
    <w:rsid w:val="00F4527B"/>
    <w:rsid w:val="00F459CA"/>
    <w:rsid w:val="00F45FAF"/>
    <w:rsid w:val="00F46001"/>
    <w:rsid w:val="00F46460"/>
    <w:rsid w:val="00F4684F"/>
    <w:rsid w:val="00F46984"/>
    <w:rsid w:val="00F469BB"/>
    <w:rsid w:val="00F47598"/>
    <w:rsid w:val="00F477D4"/>
    <w:rsid w:val="00F47DD2"/>
    <w:rsid w:val="00F5053B"/>
    <w:rsid w:val="00F50634"/>
    <w:rsid w:val="00F50643"/>
    <w:rsid w:val="00F50E45"/>
    <w:rsid w:val="00F50E89"/>
    <w:rsid w:val="00F51389"/>
    <w:rsid w:val="00F5144A"/>
    <w:rsid w:val="00F51660"/>
    <w:rsid w:val="00F5193A"/>
    <w:rsid w:val="00F51CE7"/>
    <w:rsid w:val="00F51E08"/>
    <w:rsid w:val="00F51F0A"/>
    <w:rsid w:val="00F52137"/>
    <w:rsid w:val="00F526CD"/>
    <w:rsid w:val="00F52806"/>
    <w:rsid w:val="00F531EB"/>
    <w:rsid w:val="00F534DD"/>
    <w:rsid w:val="00F53DF5"/>
    <w:rsid w:val="00F5401C"/>
    <w:rsid w:val="00F540E8"/>
    <w:rsid w:val="00F548B0"/>
    <w:rsid w:val="00F548D6"/>
    <w:rsid w:val="00F560E6"/>
    <w:rsid w:val="00F5629A"/>
    <w:rsid w:val="00F569A7"/>
    <w:rsid w:val="00F56F33"/>
    <w:rsid w:val="00F57369"/>
    <w:rsid w:val="00F57842"/>
    <w:rsid w:val="00F578F5"/>
    <w:rsid w:val="00F57CE1"/>
    <w:rsid w:val="00F602AF"/>
    <w:rsid w:val="00F603F6"/>
    <w:rsid w:val="00F60707"/>
    <w:rsid w:val="00F608A4"/>
    <w:rsid w:val="00F60C84"/>
    <w:rsid w:val="00F610BA"/>
    <w:rsid w:val="00F6137D"/>
    <w:rsid w:val="00F61615"/>
    <w:rsid w:val="00F61C0A"/>
    <w:rsid w:val="00F61C5A"/>
    <w:rsid w:val="00F6273B"/>
    <w:rsid w:val="00F62E1D"/>
    <w:rsid w:val="00F62F7E"/>
    <w:rsid w:val="00F630E5"/>
    <w:rsid w:val="00F63976"/>
    <w:rsid w:val="00F63BD2"/>
    <w:rsid w:val="00F6404D"/>
    <w:rsid w:val="00F64072"/>
    <w:rsid w:val="00F641AE"/>
    <w:rsid w:val="00F644E7"/>
    <w:rsid w:val="00F647A1"/>
    <w:rsid w:val="00F64B3E"/>
    <w:rsid w:val="00F65259"/>
    <w:rsid w:val="00F6526C"/>
    <w:rsid w:val="00F6598A"/>
    <w:rsid w:val="00F65A96"/>
    <w:rsid w:val="00F660C2"/>
    <w:rsid w:val="00F6634D"/>
    <w:rsid w:val="00F66DE0"/>
    <w:rsid w:val="00F66E70"/>
    <w:rsid w:val="00F66FD3"/>
    <w:rsid w:val="00F673BD"/>
    <w:rsid w:val="00F67A31"/>
    <w:rsid w:val="00F67B61"/>
    <w:rsid w:val="00F67E8D"/>
    <w:rsid w:val="00F67EAA"/>
    <w:rsid w:val="00F70232"/>
    <w:rsid w:val="00F702A5"/>
    <w:rsid w:val="00F70B14"/>
    <w:rsid w:val="00F70C00"/>
    <w:rsid w:val="00F70D19"/>
    <w:rsid w:val="00F70FD4"/>
    <w:rsid w:val="00F71EE3"/>
    <w:rsid w:val="00F71FE7"/>
    <w:rsid w:val="00F72194"/>
    <w:rsid w:val="00F7224D"/>
    <w:rsid w:val="00F7233B"/>
    <w:rsid w:val="00F7350A"/>
    <w:rsid w:val="00F73BA4"/>
    <w:rsid w:val="00F73CD2"/>
    <w:rsid w:val="00F73EEA"/>
    <w:rsid w:val="00F74059"/>
    <w:rsid w:val="00F741DB"/>
    <w:rsid w:val="00F74858"/>
    <w:rsid w:val="00F75356"/>
    <w:rsid w:val="00F753CF"/>
    <w:rsid w:val="00F753DC"/>
    <w:rsid w:val="00F75696"/>
    <w:rsid w:val="00F75899"/>
    <w:rsid w:val="00F75910"/>
    <w:rsid w:val="00F75A08"/>
    <w:rsid w:val="00F75A4F"/>
    <w:rsid w:val="00F75B3A"/>
    <w:rsid w:val="00F764F3"/>
    <w:rsid w:val="00F7688C"/>
    <w:rsid w:val="00F76B9A"/>
    <w:rsid w:val="00F778EA"/>
    <w:rsid w:val="00F77DA5"/>
    <w:rsid w:val="00F805AE"/>
    <w:rsid w:val="00F80751"/>
    <w:rsid w:val="00F80B51"/>
    <w:rsid w:val="00F80C4C"/>
    <w:rsid w:val="00F80CB2"/>
    <w:rsid w:val="00F80E68"/>
    <w:rsid w:val="00F811C9"/>
    <w:rsid w:val="00F81A28"/>
    <w:rsid w:val="00F8229C"/>
    <w:rsid w:val="00F82434"/>
    <w:rsid w:val="00F82D16"/>
    <w:rsid w:val="00F83280"/>
    <w:rsid w:val="00F8371F"/>
    <w:rsid w:val="00F8381E"/>
    <w:rsid w:val="00F838F2"/>
    <w:rsid w:val="00F83B4C"/>
    <w:rsid w:val="00F83C22"/>
    <w:rsid w:val="00F84511"/>
    <w:rsid w:val="00F8461A"/>
    <w:rsid w:val="00F84BEB"/>
    <w:rsid w:val="00F84EFB"/>
    <w:rsid w:val="00F8531C"/>
    <w:rsid w:val="00F85441"/>
    <w:rsid w:val="00F85523"/>
    <w:rsid w:val="00F85A19"/>
    <w:rsid w:val="00F85D1C"/>
    <w:rsid w:val="00F86708"/>
    <w:rsid w:val="00F868E9"/>
    <w:rsid w:val="00F86AA3"/>
    <w:rsid w:val="00F86CB5"/>
    <w:rsid w:val="00F87527"/>
    <w:rsid w:val="00F87C10"/>
    <w:rsid w:val="00F9001F"/>
    <w:rsid w:val="00F90053"/>
    <w:rsid w:val="00F9024E"/>
    <w:rsid w:val="00F902C3"/>
    <w:rsid w:val="00F9044E"/>
    <w:rsid w:val="00F908B9"/>
    <w:rsid w:val="00F90D35"/>
    <w:rsid w:val="00F90F9B"/>
    <w:rsid w:val="00F91A5E"/>
    <w:rsid w:val="00F92017"/>
    <w:rsid w:val="00F9216F"/>
    <w:rsid w:val="00F9264E"/>
    <w:rsid w:val="00F92976"/>
    <w:rsid w:val="00F92BC4"/>
    <w:rsid w:val="00F9336C"/>
    <w:rsid w:val="00F933F7"/>
    <w:rsid w:val="00F93516"/>
    <w:rsid w:val="00F93740"/>
    <w:rsid w:val="00F94186"/>
    <w:rsid w:val="00F94372"/>
    <w:rsid w:val="00F9443D"/>
    <w:rsid w:val="00F94466"/>
    <w:rsid w:val="00F9532E"/>
    <w:rsid w:val="00F9556B"/>
    <w:rsid w:val="00F95631"/>
    <w:rsid w:val="00F95876"/>
    <w:rsid w:val="00F959A2"/>
    <w:rsid w:val="00F95BC3"/>
    <w:rsid w:val="00F95D16"/>
    <w:rsid w:val="00F96A06"/>
    <w:rsid w:val="00F96BFD"/>
    <w:rsid w:val="00F971FD"/>
    <w:rsid w:val="00F97249"/>
    <w:rsid w:val="00F9767B"/>
    <w:rsid w:val="00F9790A"/>
    <w:rsid w:val="00F97CCB"/>
    <w:rsid w:val="00F97D9B"/>
    <w:rsid w:val="00F97E0E"/>
    <w:rsid w:val="00FA00F0"/>
    <w:rsid w:val="00FA0163"/>
    <w:rsid w:val="00FA0430"/>
    <w:rsid w:val="00FA0B6D"/>
    <w:rsid w:val="00FA0E70"/>
    <w:rsid w:val="00FA149C"/>
    <w:rsid w:val="00FA1E72"/>
    <w:rsid w:val="00FA28FB"/>
    <w:rsid w:val="00FA2E4F"/>
    <w:rsid w:val="00FA2F8C"/>
    <w:rsid w:val="00FA3174"/>
    <w:rsid w:val="00FA33B2"/>
    <w:rsid w:val="00FA4499"/>
    <w:rsid w:val="00FA473A"/>
    <w:rsid w:val="00FA48B1"/>
    <w:rsid w:val="00FA49AA"/>
    <w:rsid w:val="00FA4B74"/>
    <w:rsid w:val="00FA4BAD"/>
    <w:rsid w:val="00FA5276"/>
    <w:rsid w:val="00FA5C81"/>
    <w:rsid w:val="00FA5C95"/>
    <w:rsid w:val="00FA5D34"/>
    <w:rsid w:val="00FA6066"/>
    <w:rsid w:val="00FA60AA"/>
    <w:rsid w:val="00FA6AA2"/>
    <w:rsid w:val="00FA6C90"/>
    <w:rsid w:val="00FA777D"/>
    <w:rsid w:val="00FA79B0"/>
    <w:rsid w:val="00FA7D8E"/>
    <w:rsid w:val="00FB0D8E"/>
    <w:rsid w:val="00FB181C"/>
    <w:rsid w:val="00FB1920"/>
    <w:rsid w:val="00FB1A0A"/>
    <w:rsid w:val="00FB1D85"/>
    <w:rsid w:val="00FB1FDE"/>
    <w:rsid w:val="00FB208A"/>
    <w:rsid w:val="00FB2299"/>
    <w:rsid w:val="00FB273E"/>
    <w:rsid w:val="00FB280A"/>
    <w:rsid w:val="00FB3437"/>
    <w:rsid w:val="00FB41A5"/>
    <w:rsid w:val="00FB5400"/>
    <w:rsid w:val="00FB5497"/>
    <w:rsid w:val="00FB5839"/>
    <w:rsid w:val="00FB5A54"/>
    <w:rsid w:val="00FB5BEA"/>
    <w:rsid w:val="00FB654F"/>
    <w:rsid w:val="00FB6834"/>
    <w:rsid w:val="00FB6890"/>
    <w:rsid w:val="00FB6B84"/>
    <w:rsid w:val="00FB6DA1"/>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F11"/>
    <w:rsid w:val="00FC46BC"/>
    <w:rsid w:val="00FC59B6"/>
    <w:rsid w:val="00FC60B5"/>
    <w:rsid w:val="00FC6613"/>
    <w:rsid w:val="00FC666D"/>
    <w:rsid w:val="00FC69B9"/>
    <w:rsid w:val="00FC69F5"/>
    <w:rsid w:val="00FC7572"/>
    <w:rsid w:val="00FC76A2"/>
    <w:rsid w:val="00FC785C"/>
    <w:rsid w:val="00FC7B45"/>
    <w:rsid w:val="00FD063A"/>
    <w:rsid w:val="00FD0A18"/>
    <w:rsid w:val="00FD0ED5"/>
    <w:rsid w:val="00FD1494"/>
    <w:rsid w:val="00FD15C5"/>
    <w:rsid w:val="00FD1BEA"/>
    <w:rsid w:val="00FD1BEE"/>
    <w:rsid w:val="00FD2025"/>
    <w:rsid w:val="00FD2550"/>
    <w:rsid w:val="00FD25AF"/>
    <w:rsid w:val="00FD2742"/>
    <w:rsid w:val="00FD316B"/>
    <w:rsid w:val="00FD3759"/>
    <w:rsid w:val="00FD37B9"/>
    <w:rsid w:val="00FD381E"/>
    <w:rsid w:val="00FD3B0E"/>
    <w:rsid w:val="00FD3B1D"/>
    <w:rsid w:val="00FD45BD"/>
    <w:rsid w:val="00FD4DF8"/>
    <w:rsid w:val="00FD5595"/>
    <w:rsid w:val="00FD592E"/>
    <w:rsid w:val="00FD5CC9"/>
    <w:rsid w:val="00FD622A"/>
    <w:rsid w:val="00FD63E5"/>
    <w:rsid w:val="00FD6833"/>
    <w:rsid w:val="00FD683D"/>
    <w:rsid w:val="00FD6BD5"/>
    <w:rsid w:val="00FD7118"/>
    <w:rsid w:val="00FD720D"/>
    <w:rsid w:val="00FD769A"/>
    <w:rsid w:val="00FD7801"/>
    <w:rsid w:val="00FD7B61"/>
    <w:rsid w:val="00FD7F35"/>
    <w:rsid w:val="00FD7F43"/>
    <w:rsid w:val="00FE04B6"/>
    <w:rsid w:val="00FE060F"/>
    <w:rsid w:val="00FE067C"/>
    <w:rsid w:val="00FE095C"/>
    <w:rsid w:val="00FE0B3C"/>
    <w:rsid w:val="00FE0C5B"/>
    <w:rsid w:val="00FE0F80"/>
    <w:rsid w:val="00FE1C50"/>
    <w:rsid w:val="00FE1CB6"/>
    <w:rsid w:val="00FE2331"/>
    <w:rsid w:val="00FE254D"/>
    <w:rsid w:val="00FE30D7"/>
    <w:rsid w:val="00FE33F5"/>
    <w:rsid w:val="00FE3C4C"/>
    <w:rsid w:val="00FE415F"/>
    <w:rsid w:val="00FE4402"/>
    <w:rsid w:val="00FE442F"/>
    <w:rsid w:val="00FE4882"/>
    <w:rsid w:val="00FE4A19"/>
    <w:rsid w:val="00FE4E33"/>
    <w:rsid w:val="00FE4EAF"/>
    <w:rsid w:val="00FE527F"/>
    <w:rsid w:val="00FE5DD8"/>
    <w:rsid w:val="00FE5F80"/>
    <w:rsid w:val="00FE6B4A"/>
    <w:rsid w:val="00FE709C"/>
    <w:rsid w:val="00FE71C0"/>
    <w:rsid w:val="00FE72B2"/>
    <w:rsid w:val="00FE73AE"/>
    <w:rsid w:val="00FE76DD"/>
    <w:rsid w:val="00FE7909"/>
    <w:rsid w:val="00FE7ADC"/>
    <w:rsid w:val="00FE7CA7"/>
    <w:rsid w:val="00FF0370"/>
    <w:rsid w:val="00FF086C"/>
    <w:rsid w:val="00FF08CB"/>
    <w:rsid w:val="00FF0C15"/>
    <w:rsid w:val="00FF104B"/>
    <w:rsid w:val="00FF2073"/>
    <w:rsid w:val="00FF2339"/>
    <w:rsid w:val="00FF2460"/>
    <w:rsid w:val="00FF3151"/>
    <w:rsid w:val="00FF33A8"/>
    <w:rsid w:val="00FF380C"/>
    <w:rsid w:val="00FF4491"/>
    <w:rsid w:val="00FF4498"/>
    <w:rsid w:val="00FF4793"/>
    <w:rsid w:val="00FF4883"/>
    <w:rsid w:val="00FF49BC"/>
    <w:rsid w:val="00FF4A12"/>
    <w:rsid w:val="00FF4FA4"/>
    <w:rsid w:val="00FF5502"/>
    <w:rsid w:val="00FF60AB"/>
    <w:rsid w:val="00FF67F4"/>
    <w:rsid w:val="00FF799E"/>
    <w:rsid w:val="00FF7E55"/>
    <w:rsid w:val="011703EB"/>
    <w:rsid w:val="013D4EA6"/>
    <w:rsid w:val="016A47D0"/>
    <w:rsid w:val="01D4071E"/>
    <w:rsid w:val="02184BBC"/>
    <w:rsid w:val="022609F9"/>
    <w:rsid w:val="022A2A7E"/>
    <w:rsid w:val="02985FBB"/>
    <w:rsid w:val="02B45BD0"/>
    <w:rsid w:val="02B778F6"/>
    <w:rsid w:val="02CA750B"/>
    <w:rsid w:val="03026EE0"/>
    <w:rsid w:val="0308457E"/>
    <w:rsid w:val="030D73F3"/>
    <w:rsid w:val="033426E5"/>
    <w:rsid w:val="036F69E2"/>
    <w:rsid w:val="03AB432D"/>
    <w:rsid w:val="03B8393D"/>
    <w:rsid w:val="03FE481A"/>
    <w:rsid w:val="041D6D73"/>
    <w:rsid w:val="04255C83"/>
    <w:rsid w:val="043223C7"/>
    <w:rsid w:val="04617060"/>
    <w:rsid w:val="04674F5F"/>
    <w:rsid w:val="05230A8E"/>
    <w:rsid w:val="052D0359"/>
    <w:rsid w:val="055102AD"/>
    <w:rsid w:val="057531F6"/>
    <w:rsid w:val="057E6076"/>
    <w:rsid w:val="05AF3607"/>
    <w:rsid w:val="05B5176E"/>
    <w:rsid w:val="05CB54EB"/>
    <w:rsid w:val="05CC34B8"/>
    <w:rsid w:val="05E51322"/>
    <w:rsid w:val="05EF771B"/>
    <w:rsid w:val="062A1E6A"/>
    <w:rsid w:val="0644407F"/>
    <w:rsid w:val="06525E1E"/>
    <w:rsid w:val="066F1114"/>
    <w:rsid w:val="07635DD8"/>
    <w:rsid w:val="0776206D"/>
    <w:rsid w:val="07832D1D"/>
    <w:rsid w:val="07B52A03"/>
    <w:rsid w:val="07D00017"/>
    <w:rsid w:val="07E32ACC"/>
    <w:rsid w:val="080A5A08"/>
    <w:rsid w:val="0849326A"/>
    <w:rsid w:val="0876565E"/>
    <w:rsid w:val="087A526B"/>
    <w:rsid w:val="087C78B0"/>
    <w:rsid w:val="08D13754"/>
    <w:rsid w:val="091A351F"/>
    <w:rsid w:val="091F249A"/>
    <w:rsid w:val="09271E7F"/>
    <w:rsid w:val="093A4992"/>
    <w:rsid w:val="09871E80"/>
    <w:rsid w:val="09980F26"/>
    <w:rsid w:val="09AA701C"/>
    <w:rsid w:val="09C210E6"/>
    <w:rsid w:val="09CC46F3"/>
    <w:rsid w:val="09EC26B0"/>
    <w:rsid w:val="09F10622"/>
    <w:rsid w:val="09F30E56"/>
    <w:rsid w:val="09FB5164"/>
    <w:rsid w:val="0A205020"/>
    <w:rsid w:val="0A395CC6"/>
    <w:rsid w:val="0A3A5ED1"/>
    <w:rsid w:val="0A4F1B9A"/>
    <w:rsid w:val="0A6A59C4"/>
    <w:rsid w:val="0A7A0B66"/>
    <w:rsid w:val="0A91398D"/>
    <w:rsid w:val="0AAA1ED2"/>
    <w:rsid w:val="0ADC25B0"/>
    <w:rsid w:val="0B002096"/>
    <w:rsid w:val="0B6F337D"/>
    <w:rsid w:val="0BA340AA"/>
    <w:rsid w:val="0BA90DB5"/>
    <w:rsid w:val="0BB36AF0"/>
    <w:rsid w:val="0C0674F2"/>
    <w:rsid w:val="0C0E4391"/>
    <w:rsid w:val="0C380B75"/>
    <w:rsid w:val="0C4666EE"/>
    <w:rsid w:val="0C911341"/>
    <w:rsid w:val="0C964D01"/>
    <w:rsid w:val="0CA41E9D"/>
    <w:rsid w:val="0CAA1F23"/>
    <w:rsid w:val="0CB864D2"/>
    <w:rsid w:val="0CEB0051"/>
    <w:rsid w:val="0CEB3564"/>
    <w:rsid w:val="0D0426CB"/>
    <w:rsid w:val="0D3B6485"/>
    <w:rsid w:val="0D40693A"/>
    <w:rsid w:val="0D7C71BF"/>
    <w:rsid w:val="0DDA7208"/>
    <w:rsid w:val="0DF01FD0"/>
    <w:rsid w:val="0E152266"/>
    <w:rsid w:val="0E3827E4"/>
    <w:rsid w:val="0E421C11"/>
    <w:rsid w:val="0E553E68"/>
    <w:rsid w:val="0E666FEB"/>
    <w:rsid w:val="0E9D34C8"/>
    <w:rsid w:val="0EF35E20"/>
    <w:rsid w:val="0EF75375"/>
    <w:rsid w:val="0EFC24E8"/>
    <w:rsid w:val="0EFE049E"/>
    <w:rsid w:val="0F2C5778"/>
    <w:rsid w:val="0F2C6541"/>
    <w:rsid w:val="0F364E3A"/>
    <w:rsid w:val="0FCD7431"/>
    <w:rsid w:val="0FD75A92"/>
    <w:rsid w:val="0FF541FF"/>
    <w:rsid w:val="10081845"/>
    <w:rsid w:val="102C5931"/>
    <w:rsid w:val="102F39BD"/>
    <w:rsid w:val="107B4CF6"/>
    <w:rsid w:val="10B76792"/>
    <w:rsid w:val="10D611EE"/>
    <w:rsid w:val="10F0165C"/>
    <w:rsid w:val="10F42AED"/>
    <w:rsid w:val="11082B78"/>
    <w:rsid w:val="1190077E"/>
    <w:rsid w:val="119B631A"/>
    <w:rsid w:val="11BA5AC8"/>
    <w:rsid w:val="11C95319"/>
    <w:rsid w:val="11F87AA0"/>
    <w:rsid w:val="1203291A"/>
    <w:rsid w:val="125E65CE"/>
    <w:rsid w:val="1261344F"/>
    <w:rsid w:val="12773DE9"/>
    <w:rsid w:val="12775130"/>
    <w:rsid w:val="12F841E7"/>
    <w:rsid w:val="1310568F"/>
    <w:rsid w:val="13AB74B9"/>
    <w:rsid w:val="13B83E7D"/>
    <w:rsid w:val="13D80732"/>
    <w:rsid w:val="13F316B4"/>
    <w:rsid w:val="14305133"/>
    <w:rsid w:val="147C264B"/>
    <w:rsid w:val="14933430"/>
    <w:rsid w:val="14AA6A78"/>
    <w:rsid w:val="14E57F9B"/>
    <w:rsid w:val="154027A9"/>
    <w:rsid w:val="15522CF1"/>
    <w:rsid w:val="157B6DFC"/>
    <w:rsid w:val="158B0D3E"/>
    <w:rsid w:val="158B5E14"/>
    <w:rsid w:val="15A478DC"/>
    <w:rsid w:val="15B46B85"/>
    <w:rsid w:val="16366103"/>
    <w:rsid w:val="1652446D"/>
    <w:rsid w:val="16851486"/>
    <w:rsid w:val="1690772D"/>
    <w:rsid w:val="16D70948"/>
    <w:rsid w:val="16FC1802"/>
    <w:rsid w:val="17587598"/>
    <w:rsid w:val="175D15CE"/>
    <w:rsid w:val="17664C47"/>
    <w:rsid w:val="176B096A"/>
    <w:rsid w:val="17721FD4"/>
    <w:rsid w:val="1791509F"/>
    <w:rsid w:val="17C273C9"/>
    <w:rsid w:val="182C7466"/>
    <w:rsid w:val="185F082A"/>
    <w:rsid w:val="18BD62EE"/>
    <w:rsid w:val="18CA73DE"/>
    <w:rsid w:val="190A4724"/>
    <w:rsid w:val="191C7400"/>
    <w:rsid w:val="19562205"/>
    <w:rsid w:val="196A6BEB"/>
    <w:rsid w:val="198159B0"/>
    <w:rsid w:val="19964E4F"/>
    <w:rsid w:val="19D35E15"/>
    <w:rsid w:val="19D85312"/>
    <w:rsid w:val="1A011CB4"/>
    <w:rsid w:val="1A1059EC"/>
    <w:rsid w:val="1A22529F"/>
    <w:rsid w:val="1A312D65"/>
    <w:rsid w:val="1A3D37B7"/>
    <w:rsid w:val="1A51402E"/>
    <w:rsid w:val="1A526CAE"/>
    <w:rsid w:val="1A54048B"/>
    <w:rsid w:val="1A5465B6"/>
    <w:rsid w:val="1A563529"/>
    <w:rsid w:val="1B1D1D1F"/>
    <w:rsid w:val="1B1D57DA"/>
    <w:rsid w:val="1B50117E"/>
    <w:rsid w:val="1B914C28"/>
    <w:rsid w:val="1BA545FA"/>
    <w:rsid w:val="1BB60C7D"/>
    <w:rsid w:val="1BDE622B"/>
    <w:rsid w:val="1BE17A67"/>
    <w:rsid w:val="1C015C92"/>
    <w:rsid w:val="1C0E231B"/>
    <w:rsid w:val="1C8B703E"/>
    <w:rsid w:val="1CFB3D57"/>
    <w:rsid w:val="1D1C7EA2"/>
    <w:rsid w:val="1D3B311F"/>
    <w:rsid w:val="1D3C5C17"/>
    <w:rsid w:val="1DA351A4"/>
    <w:rsid w:val="1DE33755"/>
    <w:rsid w:val="1E0A3E7F"/>
    <w:rsid w:val="1E807C6C"/>
    <w:rsid w:val="1EB925D2"/>
    <w:rsid w:val="1F075350"/>
    <w:rsid w:val="1F1F6E2B"/>
    <w:rsid w:val="1F2C5847"/>
    <w:rsid w:val="1F365DFF"/>
    <w:rsid w:val="1F376750"/>
    <w:rsid w:val="1F564213"/>
    <w:rsid w:val="1FD32B23"/>
    <w:rsid w:val="1FDB155A"/>
    <w:rsid w:val="1FEA6C8A"/>
    <w:rsid w:val="202765F5"/>
    <w:rsid w:val="20500DD0"/>
    <w:rsid w:val="20733E68"/>
    <w:rsid w:val="20975795"/>
    <w:rsid w:val="20D466EF"/>
    <w:rsid w:val="21094A8F"/>
    <w:rsid w:val="2136287C"/>
    <w:rsid w:val="219131CB"/>
    <w:rsid w:val="21B54A3E"/>
    <w:rsid w:val="21D3636D"/>
    <w:rsid w:val="220C04D8"/>
    <w:rsid w:val="220C7642"/>
    <w:rsid w:val="22114D05"/>
    <w:rsid w:val="22461ADB"/>
    <w:rsid w:val="22644199"/>
    <w:rsid w:val="22C05286"/>
    <w:rsid w:val="22D40A50"/>
    <w:rsid w:val="2324246A"/>
    <w:rsid w:val="234473E6"/>
    <w:rsid w:val="234A00F8"/>
    <w:rsid w:val="23774E7F"/>
    <w:rsid w:val="238A2821"/>
    <w:rsid w:val="239170BF"/>
    <w:rsid w:val="23A430BA"/>
    <w:rsid w:val="23A71028"/>
    <w:rsid w:val="23B0380D"/>
    <w:rsid w:val="23D94B09"/>
    <w:rsid w:val="23F01920"/>
    <w:rsid w:val="23F678E8"/>
    <w:rsid w:val="243B6215"/>
    <w:rsid w:val="247807B2"/>
    <w:rsid w:val="24844580"/>
    <w:rsid w:val="24A91933"/>
    <w:rsid w:val="24B141D2"/>
    <w:rsid w:val="24EA75D3"/>
    <w:rsid w:val="24F94E9C"/>
    <w:rsid w:val="252E0685"/>
    <w:rsid w:val="253738EE"/>
    <w:rsid w:val="25711771"/>
    <w:rsid w:val="257321D4"/>
    <w:rsid w:val="258E7A55"/>
    <w:rsid w:val="25C408D6"/>
    <w:rsid w:val="25D905B9"/>
    <w:rsid w:val="25DC79B5"/>
    <w:rsid w:val="266D7F3E"/>
    <w:rsid w:val="26A6407E"/>
    <w:rsid w:val="26EF2866"/>
    <w:rsid w:val="26F21056"/>
    <w:rsid w:val="27093E66"/>
    <w:rsid w:val="27F72B52"/>
    <w:rsid w:val="28302858"/>
    <w:rsid w:val="283468D7"/>
    <w:rsid w:val="2860686C"/>
    <w:rsid w:val="288A016D"/>
    <w:rsid w:val="288B0968"/>
    <w:rsid w:val="289C0D75"/>
    <w:rsid w:val="28D02037"/>
    <w:rsid w:val="28DB04DB"/>
    <w:rsid w:val="28FB1BD7"/>
    <w:rsid w:val="290B432D"/>
    <w:rsid w:val="292F3D85"/>
    <w:rsid w:val="29384176"/>
    <w:rsid w:val="293B6E5B"/>
    <w:rsid w:val="29BD4E1D"/>
    <w:rsid w:val="2A22006E"/>
    <w:rsid w:val="2A28273E"/>
    <w:rsid w:val="2AC63DF7"/>
    <w:rsid w:val="2ACD6985"/>
    <w:rsid w:val="2AE513A1"/>
    <w:rsid w:val="2AE97AE2"/>
    <w:rsid w:val="2AEB3754"/>
    <w:rsid w:val="2B020DC8"/>
    <w:rsid w:val="2B1664A8"/>
    <w:rsid w:val="2B600C7F"/>
    <w:rsid w:val="2B713DEE"/>
    <w:rsid w:val="2BD46CB7"/>
    <w:rsid w:val="2BE55827"/>
    <w:rsid w:val="2BEE2741"/>
    <w:rsid w:val="2C1E5464"/>
    <w:rsid w:val="2C42519F"/>
    <w:rsid w:val="2C5D3414"/>
    <w:rsid w:val="2C5F2E31"/>
    <w:rsid w:val="2C7B1F28"/>
    <w:rsid w:val="2C9E2FC6"/>
    <w:rsid w:val="2CB841D9"/>
    <w:rsid w:val="2CD67791"/>
    <w:rsid w:val="2CEB0E89"/>
    <w:rsid w:val="2CF25CC4"/>
    <w:rsid w:val="2CF34A9C"/>
    <w:rsid w:val="2CFF712F"/>
    <w:rsid w:val="2D5F3345"/>
    <w:rsid w:val="2D990BBA"/>
    <w:rsid w:val="2D9965C2"/>
    <w:rsid w:val="2E0209D8"/>
    <w:rsid w:val="2E2F45B1"/>
    <w:rsid w:val="2E820B67"/>
    <w:rsid w:val="2EA14571"/>
    <w:rsid w:val="2EA42D9E"/>
    <w:rsid w:val="2EBD2AD1"/>
    <w:rsid w:val="2F607860"/>
    <w:rsid w:val="2F6A6FC7"/>
    <w:rsid w:val="2F6C7F67"/>
    <w:rsid w:val="2F7C4A3B"/>
    <w:rsid w:val="2F8572EE"/>
    <w:rsid w:val="2F963D78"/>
    <w:rsid w:val="302A215B"/>
    <w:rsid w:val="3033188B"/>
    <w:rsid w:val="30392227"/>
    <w:rsid w:val="308E2122"/>
    <w:rsid w:val="30A76F3A"/>
    <w:rsid w:val="30FB75BF"/>
    <w:rsid w:val="31127699"/>
    <w:rsid w:val="31135F01"/>
    <w:rsid w:val="313D1303"/>
    <w:rsid w:val="314A43AF"/>
    <w:rsid w:val="31874663"/>
    <w:rsid w:val="31CC5FDA"/>
    <w:rsid w:val="3203020B"/>
    <w:rsid w:val="322E28E0"/>
    <w:rsid w:val="3233681A"/>
    <w:rsid w:val="32520440"/>
    <w:rsid w:val="326D0158"/>
    <w:rsid w:val="32751CFB"/>
    <w:rsid w:val="327A5F3E"/>
    <w:rsid w:val="327D7C8E"/>
    <w:rsid w:val="3284575B"/>
    <w:rsid w:val="32A23E2B"/>
    <w:rsid w:val="32BE1405"/>
    <w:rsid w:val="32C37FCB"/>
    <w:rsid w:val="32C46118"/>
    <w:rsid w:val="32D938B6"/>
    <w:rsid w:val="32DE294D"/>
    <w:rsid w:val="331068C2"/>
    <w:rsid w:val="33570008"/>
    <w:rsid w:val="33B21EB0"/>
    <w:rsid w:val="33D00223"/>
    <w:rsid w:val="340B23C7"/>
    <w:rsid w:val="34621A7D"/>
    <w:rsid w:val="34777206"/>
    <w:rsid w:val="34863DDD"/>
    <w:rsid w:val="34FC0904"/>
    <w:rsid w:val="352E4045"/>
    <w:rsid w:val="355F3F85"/>
    <w:rsid w:val="35860FC8"/>
    <w:rsid w:val="35D549E3"/>
    <w:rsid w:val="35DE3B93"/>
    <w:rsid w:val="3612587F"/>
    <w:rsid w:val="36127B9A"/>
    <w:rsid w:val="3669748F"/>
    <w:rsid w:val="36731FB6"/>
    <w:rsid w:val="36893830"/>
    <w:rsid w:val="36926C06"/>
    <w:rsid w:val="36C21514"/>
    <w:rsid w:val="36C305E1"/>
    <w:rsid w:val="36E4063D"/>
    <w:rsid w:val="36EE5596"/>
    <w:rsid w:val="376D4710"/>
    <w:rsid w:val="37BB72CA"/>
    <w:rsid w:val="37CF4FD2"/>
    <w:rsid w:val="37DB06EC"/>
    <w:rsid w:val="382443C5"/>
    <w:rsid w:val="38403701"/>
    <w:rsid w:val="38607895"/>
    <w:rsid w:val="38B42593"/>
    <w:rsid w:val="38D47739"/>
    <w:rsid w:val="390A67BE"/>
    <w:rsid w:val="39A15F47"/>
    <w:rsid w:val="39E74B9F"/>
    <w:rsid w:val="3A2C5278"/>
    <w:rsid w:val="3A51064B"/>
    <w:rsid w:val="3A530270"/>
    <w:rsid w:val="3A610FE5"/>
    <w:rsid w:val="3A8E6312"/>
    <w:rsid w:val="3A9D0885"/>
    <w:rsid w:val="3B151342"/>
    <w:rsid w:val="3B1B7A8D"/>
    <w:rsid w:val="3B570455"/>
    <w:rsid w:val="3B606800"/>
    <w:rsid w:val="3B6579C3"/>
    <w:rsid w:val="3B904AEC"/>
    <w:rsid w:val="3BA741E2"/>
    <w:rsid w:val="3BB0453B"/>
    <w:rsid w:val="3BD6109F"/>
    <w:rsid w:val="3C4167F1"/>
    <w:rsid w:val="3C554741"/>
    <w:rsid w:val="3C644194"/>
    <w:rsid w:val="3C660B2C"/>
    <w:rsid w:val="3D366088"/>
    <w:rsid w:val="3D3A5C4F"/>
    <w:rsid w:val="3D5D5C48"/>
    <w:rsid w:val="3D872CF7"/>
    <w:rsid w:val="3D996A69"/>
    <w:rsid w:val="3DC05DBD"/>
    <w:rsid w:val="3DC367B0"/>
    <w:rsid w:val="3E087181"/>
    <w:rsid w:val="3E4D4C05"/>
    <w:rsid w:val="3E8E5EBF"/>
    <w:rsid w:val="3E9A6A46"/>
    <w:rsid w:val="3EC94AD2"/>
    <w:rsid w:val="3ECB1984"/>
    <w:rsid w:val="3ED87D46"/>
    <w:rsid w:val="3EF70C2C"/>
    <w:rsid w:val="3F270A7C"/>
    <w:rsid w:val="3F473C09"/>
    <w:rsid w:val="3F481DB3"/>
    <w:rsid w:val="3F540D77"/>
    <w:rsid w:val="3F8B1341"/>
    <w:rsid w:val="3F8E3F85"/>
    <w:rsid w:val="3F910991"/>
    <w:rsid w:val="3F9E444A"/>
    <w:rsid w:val="3FEC56DA"/>
    <w:rsid w:val="409A5DFE"/>
    <w:rsid w:val="409C5563"/>
    <w:rsid w:val="412820ED"/>
    <w:rsid w:val="412D58DA"/>
    <w:rsid w:val="414A19AE"/>
    <w:rsid w:val="4169497A"/>
    <w:rsid w:val="41A46DCB"/>
    <w:rsid w:val="41D8667A"/>
    <w:rsid w:val="4219454F"/>
    <w:rsid w:val="421F051A"/>
    <w:rsid w:val="422552EE"/>
    <w:rsid w:val="422C71E2"/>
    <w:rsid w:val="4251342C"/>
    <w:rsid w:val="42876B6E"/>
    <w:rsid w:val="4289535E"/>
    <w:rsid w:val="42AF5F1F"/>
    <w:rsid w:val="42CB5E2D"/>
    <w:rsid w:val="42DF7B54"/>
    <w:rsid w:val="43082FD5"/>
    <w:rsid w:val="431136BF"/>
    <w:rsid w:val="432928B1"/>
    <w:rsid w:val="43A15779"/>
    <w:rsid w:val="43F81F55"/>
    <w:rsid w:val="44073429"/>
    <w:rsid w:val="440C730D"/>
    <w:rsid w:val="441812EE"/>
    <w:rsid w:val="44290D96"/>
    <w:rsid w:val="444836B2"/>
    <w:rsid w:val="445918CF"/>
    <w:rsid w:val="44A0013B"/>
    <w:rsid w:val="44C31D1E"/>
    <w:rsid w:val="454B1EB8"/>
    <w:rsid w:val="456A654A"/>
    <w:rsid w:val="458A1C3E"/>
    <w:rsid w:val="45D90453"/>
    <w:rsid w:val="45E034F4"/>
    <w:rsid w:val="467F3C3D"/>
    <w:rsid w:val="468F3927"/>
    <w:rsid w:val="46A9310B"/>
    <w:rsid w:val="47013375"/>
    <w:rsid w:val="47455BEA"/>
    <w:rsid w:val="474713D2"/>
    <w:rsid w:val="4750099D"/>
    <w:rsid w:val="47D93952"/>
    <w:rsid w:val="48015D16"/>
    <w:rsid w:val="48053B9C"/>
    <w:rsid w:val="48055864"/>
    <w:rsid w:val="482B078B"/>
    <w:rsid w:val="483A55EE"/>
    <w:rsid w:val="483B331C"/>
    <w:rsid w:val="48530CEC"/>
    <w:rsid w:val="48576553"/>
    <w:rsid w:val="485E6A46"/>
    <w:rsid w:val="48600DFB"/>
    <w:rsid w:val="486767DD"/>
    <w:rsid w:val="488C51A0"/>
    <w:rsid w:val="489224DC"/>
    <w:rsid w:val="489611AD"/>
    <w:rsid w:val="48991D54"/>
    <w:rsid w:val="48AE7B86"/>
    <w:rsid w:val="48B139F3"/>
    <w:rsid w:val="48CF1480"/>
    <w:rsid w:val="491F72D8"/>
    <w:rsid w:val="493C1482"/>
    <w:rsid w:val="493C1E56"/>
    <w:rsid w:val="497B43B1"/>
    <w:rsid w:val="49B26F65"/>
    <w:rsid w:val="49D13A5D"/>
    <w:rsid w:val="49E76405"/>
    <w:rsid w:val="49F760AE"/>
    <w:rsid w:val="4A0E36A0"/>
    <w:rsid w:val="4A2A63E1"/>
    <w:rsid w:val="4A5029B1"/>
    <w:rsid w:val="4A524BAE"/>
    <w:rsid w:val="4A5278E6"/>
    <w:rsid w:val="4B0E3BCD"/>
    <w:rsid w:val="4B423207"/>
    <w:rsid w:val="4B8476E9"/>
    <w:rsid w:val="4BE82CFD"/>
    <w:rsid w:val="4C1D54F2"/>
    <w:rsid w:val="4C20189A"/>
    <w:rsid w:val="4C40022E"/>
    <w:rsid w:val="4C406328"/>
    <w:rsid w:val="4C444696"/>
    <w:rsid w:val="4C4F5AF5"/>
    <w:rsid w:val="4C6E3710"/>
    <w:rsid w:val="4C877467"/>
    <w:rsid w:val="4C89073B"/>
    <w:rsid w:val="4CAF22CA"/>
    <w:rsid w:val="4CB50D6F"/>
    <w:rsid w:val="4CC2660E"/>
    <w:rsid w:val="4CD20C38"/>
    <w:rsid w:val="4CFA2853"/>
    <w:rsid w:val="4CFA6743"/>
    <w:rsid w:val="4D0E3DC0"/>
    <w:rsid w:val="4D6B7C90"/>
    <w:rsid w:val="4D9A5B10"/>
    <w:rsid w:val="4DC66F6C"/>
    <w:rsid w:val="4DD126B3"/>
    <w:rsid w:val="4DDC418C"/>
    <w:rsid w:val="4E0B5F79"/>
    <w:rsid w:val="4E195B56"/>
    <w:rsid w:val="4E4215AA"/>
    <w:rsid w:val="4E8007AB"/>
    <w:rsid w:val="4EA94F79"/>
    <w:rsid w:val="4EB64168"/>
    <w:rsid w:val="4EDC69A9"/>
    <w:rsid w:val="4EED21A0"/>
    <w:rsid w:val="4EF12D55"/>
    <w:rsid w:val="4F0765B8"/>
    <w:rsid w:val="4F6E0A3B"/>
    <w:rsid w:val="4F7A13B8"/>
    <w:rsid w:val="4F9D67FA"/>
    <w:rsid w:val="4FD87300"/>
    <w:rsid w:val="4FE063AC"/>
    <w:rsid w:val="50177019"/>
    <w:rsid w:val="50630605"/>
    <w:rsid w:val="507C4C95"/>
    <w:rsid w:val="50B77D49"/>
    <w:rsid w:val="50BF5176"/>
    <w:rsid w:val="50F07E02"/>
    <w:rsid w:val="5117211E"/>
    <w:rsid w:val="511B2786"/>
    <w:rsid w:val="51360A54"/>
    <w:rsid w:val="51433E73"/>
    <w:rsid w:val="5148007D"/>
    <w:rsid w:val="51E50D7E"/>
    <w:rsid w:val="51E74E11"/>
    <w:rsid w:val="51F82041"/>
    <w:rsid w:val="521B0085"/>
    <w:rsid w:val="522337BB"/>
    <w:rsid w:val="52307DF8"/>
    <w:rsid w:val="524103CB"/>
    <w:rsid w:val="526B1409"/>
    <w:rsid w:val="527015BF"/>
    <w:rsid w:val="529B462F"/>
    <w:rsid w:val="52D03EC6"/>
    <w:rsid w:val="52D4654C"/>
    <w:rsid w:val="53053377"/>
    <w:rsid w:val="53273878"/>
    <w:rsid w:val="533F1A7C"/>
    <w:rsid w:val="53512027"/>
    <w:rsid w:val="53541E4A"/>
    <w:rsid w:val="536B4D54"/>
    <w:rsid w:val="5392207C"/>
    <w:rsid w:val="539F6C73"/>
    <w:rsid w:val="53A55B2E"/>
    <w:rsid w:val="5406339D"/>
    <w:rsid w:val="54302197"/>
    <w:rsid w:val="543F22BD"/>
    <w:rsid w:val="546229F6"/>
    <w:rsid w:val="54715835"/>
    <w:rsid w:val="54BF41AC"/>
    <w:rsid w:val="54E475AA"/>
    <w:rsid w:val="54F87DFC"/>
    <w:rsid w:val="54FE161C"/>
    <w:rsid w:val="551353A7"/>
    <w:rsid w:val="552D2A95"/>
    <w:rsid w:val="553848B1"/>
    <w:rsid w:val="55547C66"/>
    <w:rsid w:val="558A3B8B"/>
    <w:rsid w:val="561E23F6"/>
    <w:rsid w:val="561E5709"/>
    <w:rsid w:val="565D205B"/>
    <w:rsid w:val="565D705D"/>
    <w:rsid w:val="56C93A75"/>
    <w:rsid w:val="56DA11DF"/>
    <w:rsid w:val="57037B38"/>
    <w:rsid w:val="575001BF"/>
    <w:rsid w:val="57590E22"/>
    <w:rsid w:val="57A41536"/>
    <w:rsid w:val="57A62595"/>
    <w:rsid w:val="57AE684C"/>
    <w:rsid w:val="57E80F7E"/>
    <w:rsid w:val="57EB559F"/>
    <w:rsid w:val="58155001"/>
    <w:rsid w:val="581567B2"/>
    <w:rsid w:val="58206150"/>
    <w:rsid w:val="582C2C09"/>
    <w:rsid w:val="58422476"/>
    <w:rsid w:val="584260EB"/>
    <w:rsid w:val="586377B4"/>
    <w:rsid w:val="58646194"/>
    <w:rsid w:val="5880564E"/>
    <w:rsid w:val="58942DA3"/>
    <w:rsid w:val="589B0921"/>
    <w:rsid w:val="589D4FC1"/>
    <w:rsid w:val="58A62B41"/>
    <w:rsid w:val="58BA378E"/>
    <w:rsid w:val="58F8757D"/>
    <w:rsid w:val="58FD0601"/>
    <w:rsid w:val="590E77AF"/>
    <w:rsid w:val="591E520C"/>
    <w:rsid w:val="5939631E"/>
    <w:rsid w:val="598E4BFB"/>
    <w:rsid w:val="5A016411"/>
    <w:rsid w:val="5A2F1241"/>
    <w:rsid w:val="5A38197D"/>
    <w:rsid w:val="5A7F04B2"/>
    <w:rsid w:val="5AB05FA4"/>
    <w:rsid w:val="5B0C3558"/>
    <w:rsid w:val="5B804695"/>
    <w:rsid w:val="5BAF5AF1"/>
    <w:rsid w:val="5BF00156"/>
    <w:rsid w:val="5BF468F6"/>
    <w:rsid w:val="5BFB7F44"/>
    <w:rsid w:val="5CA26D7F"/>
    <w:rsid w:val="5CC67D52"/>
    <w:rsid w:val="5CFF2976"/>
    <w:rsid w:val="5D0B3DDA"/>
    <w:rsid w:val="5D172639"/>
    <w:rsid w:val="5D2070B2"/>
    <w:rsid w:val="5D770293"/>
    <w:rsid w:val="5E137CCC"/>
    <w:rsid w:val="5E9523F9"/>
    <w:rsid w:val="5EAF40FA"/>
    <w:rsid w:val="5ED12542"/>
    <w:rsid w:val="5ED91616"/>
    <w:rsid w:val="5EEF1835"/>
    <w:rsid w:val="5F421984"/>
    <w:rsid w:val="5F424849"/>
    <w:rsid w:val="5F493D85"/>
    <w:rsid w:val="5F61637A"/>
    <w:rsid w:val="5F7322E1"/>
    <w:rsid w:val="5F886044"/>
    <w:rsid w:val="5FC64DCA"/>
    <w:rsid w:val="6003570D"/>
    <w:rsid w:val="600B3CE5"/>
    <w:rsid w:val="601A1723"/>
    <w:rsid w:val="60503EFE"/>
    <w:rsid w:val="6086714A"/>
    <w:rsid w:val="60B21218"/>
    <w:rsid w:val="60CE3648"/>
    <w:rsid w:val="60EF2116"/>
    <w:rsid w:val="611575C2"/>
    <w:rsid w:val="61484FB0"/>
    <w:rsid w:val="61752004"/>
    <w:rsid w:val="61875B26"/>
    <w:rsid w:val="61FD3BC1"/>
    <w:rsid w:val="62547802"/>
    <w:rsid w:val="626D1658"/>
    <w:rsid w:val="62CF52B6"/>
    <w:rsid w:val="62F80F88"/>
    <w:rsid w:val="630A10D5"/>
    <w:rsid w:val="633C66A5"/>
    <w:rsid w:val="637F50D8"/>
    <w:rsid w:val="637F69AB"/>
    <w:rsid w:val="638E65BA"/>
    <w:rsid w:val="63A150DD"/>
    <w:rsid w:val="644F04F9"/>
    <w:rsid w:val="646B0242"/>
    <w:rsid w:val="64AD0324"/>
    <w:rsid w:val="65070301"/>
    <w:rsid w:val="65163084"/>
    <w:rsid w:val="6518583C"/>
    <w:rsid w:val="651E226C"/>
    <w:rsid w:val="6542256C"/>
    <w:rsid w:val="656F017D"/>
    <w:rsid w:val="657E2C7F"/>
    <w:rsid w:val="65816F30"/>
    <w:rsid w:val="65B0567D"/>
    <w:rsid w:val="66282E77"/>
    <w:rsid w:val="662A5B04"/>
    <w:rsid w:val="66522E7B"/>
    <w:rsid w:val="6679543E"/>
    <w:rsid w:val="66B33913"/>
    <w:rsid w:val="66CB5735"/>
    <w:rsid w:val="66EC5975"/>
    <w:rsid w:val="6707532D"/>
    <w:rsid w:val="67492585"/>
    <w:rsid w:val="674D3E53"/>
    <w:rsid w:val="674F4560"/>
    <w:rsid w:val="6787569C"/>
    <w:rsid w:val="67992D4C"/>
    <w:rsid w:val="685066A3"/>
    <w:rsid w:val="68940C37"/>
    <w:rsid w:val="689F5C82"/>
    <w:rsid w:val="68CC2DFA"/>
    <w:rsid w:val="68D221B5"/>
    <w:rsid w:val="68D73E41"/>
    <w:rsid w:val="68F63F3D"/>
    <w:rsid w:val="69430EF4"/>
    <w:rsid w:val="694313D3"/>
    <w:rsid w:val="69711C97"/>
    <w:rsid w:val="6998778F"/>
    <w:rsid w:val="69A55968"/>
    <w:rsid w:val="69E364F0"/>
    <w:rsid w:val="6A29562E"/>
    <w:rsid w:val="6A3B1ECB"/>
    <w:rsid w:val="6A53532B"/>
    <w:rsid w:val="6A546533"/>
    <w:rsid w:val="6A5D6D5F"/>
    <w:rsid w:val="6A7A6BC8"/>
    <w:rsid w:val="6AF11DF0"/>
    <w:rsid w:val="6AF170D6"/>
    <w:rsid w:val="6AF25289"/>
    <w:rsid w:val="6AFA1864"/>
    <w:rsid w:val="6B0277EA"/>
    <w:rsid w:val="6B3C1B90"/>
    <w:rsid w:val="6B74525B"/>
    <w:rsid w:val="6BE55345"/>
    <w:rsid w:val="6C193D57"/>
    <w:rsid w:val="6C3F620E"/>
    <w:rsid w:val="6C40053B"/>
    <w:rsid w:val="6C675A10"/>
    <w:rsid w:val="6C925EA8"/>
    <w:rsid w:val="6C9B630A"/>
    <w:rsid w:val="6CA22528"/>
    <w:rsid w:val="6CF41D1E"/>
    <w:rsid w:val="6D12115B"/>
    <w:rsid w:val="6D1A0140"/>
    <w:rsid w:val="6D1E56B5"/>
    <w:rsid w:val="6D2C0DE2"/>
    <w:rsid w:val="6D5D378E"/>
    <w:rsid w:val="6D736C42"/>
    <w:rsid w:val="6D762520"/>
    <w:rsid w:val="6D8071B4"/>
    <w:rsid w:val="6D871B9A"/>
    <w:rsid w:val="6DB210F0"/>
    <w:rsid w:val="6DB94EFD"/>
    <w:rsid w:val="6DE82A1B"/>
    <w:rsid w:val="6E38084B"/>
    <w:rsid w:val="6EBC6130"/>
    <w:rsid w:val="6ECD58BB"/>
    <w:rsid w:val="6ED7585C"/>
    <w:rsid w:val="6EDB627B"/>
    <w:rsid w:val="6F550C03"/>
    <w:rsid w:val="6F644B62"/>
    <w:rsid w:val="6F7922B2"/>
    <w:rsid w:val="6F7F6A8F"/>
    <w:rsid w:val="6FCC782F"/>
    <w:rsid w:val="7034727A"/>
    <w:rsid w:val="7053302B"/>
    <w:rsid w:val="70640522"/>
    <w:rsid w:val="70745662"/>
    <w:rsid w:val="707D79DD"/>
    <w:rsid w:val="70836345"/>
    <w:rsid w:val="70B614DB"/>
    <w:rsid w:val="70DB4772"/>
    <w:rsid w:val="7123103D"/>
    <w:rsid w:val="71296BD3"/>
    <w:rsid w:val="713117E3"/>
    <w:rsid w:val="714738DB"/>
    <w:rsid w:val="716260F4"/>
    <w:rsid w:val="71915E23"/>
    <w:rsid w:val="71A87EAF"/>
    <w:rsid w:val="71D50AC0"/>
    <w:rsid w:val="71E729CC"/>
    <w:rsid w:val="71FA44B7"/>
    <w:rsid w:val="720D13CF"/>
    <w:rsid w:val="72A2698A"/>
    <w:rsid w:val="72A97779"/>
    <w:rsid w:val="72E811CB"/>
    <w:rsid w:val="730B2CA1"/>
    <w:rsid w:val="7386008E"/>
    <w:rsid w:val="738F0991"/>
    <w:rsid w:val="73DE5982"/>
    <w:rsid w:val="742E0800"/>
    <w:rsid w:val="7443734A"/>
    <w:rsid w:val="744A1969"/>
    <w:rsid w:val="74983FDC"/>
    <w:rsid w:val="74B60E5A"/>
    <w:rsid w:val="74E02E20"/>
    <w:rsid w:val="753F5A4F"/>
    <w:rsid w:val="754848B7"/>
    <w:rsid w:val="757E3AE7"/>
    <w:rsid w:val="75A13444"/>
    <w:rsid w:val="75B65796"/>
    <w:rsid w:val="760979FC"/>
    <w:rsid w:val="761217CF"/>
    <w:rsid w:val="764A5B92"/>
    <w:rsid w:val="764D3228"/>
    <w:rsid w:val="7664291D"/>
    <w:rsid w:val="767C3D6C"/>
    <w:rsid w:val="769409CF"/>
    <w:rsid w:val="76A849C9"/>
    <w:rsid w:val="76AF0AFA"/>
    <w:rsid w:val="76AF4D42"/>
    <w:rsid w:val="77220CB0"/>
    <w:rsid w:val="773556F1"/>
    <w:rsid w:val="77433BFD"/>
    <w:rsid w:val="776A639E"/>
    <w:rsid w:val="7787359C"/>
    <w:rsid w:val="77894D1F"/>
    <w:rsid w:val="77941A44"/>
    <w:rsid w:val="77A64646"/>
    <w:rsid w:val="77B948B9"/>
    <w:rsid w:val="77C9548D"/>
    <w:rsid w:val="77E17E81"/>
    <w:rsid w:val="77E65E83"/>
    <w:rsid w:val="77F47E05"/>
    <w:rsid w:val="78133FF3"/>
    <w:rsid w:val="783B6987"/>
    <w:rsid w:val="78524C91"/>
    <w:rsid w:val="7864371A"/>
    <w:rsid w:val="787C1E6B"/>
    <w:rsid w:val="78862878"/>
    <w:rsid w:val="78C00423"/>
    <w:rsid w:val="78C1249B"/>
    <w:rsid w:val="78E0487D"/>
    <w:rsid w:val="78EE6716"/>
    <w:rsid w:val="78FE7C3E"/>
    <w:rsid w:val="79274996"/>
    <w:rsid w:val="795D5D32"/>
    <w:rsid w:val="7963257A"/>
    <w:rsid w:val="799F5BC1"/>
    <w:rsid w:val="79CC21B5"/>
    <w:rsid w:val="7A2E3471"/>
    <w:rsid w:val="7A39611B"/>
    <w:rsid w:val="7A7325DB"/>
    <w:rsid w:val="7A8105EB"/>
    <w:rsid w:val="7A8C2B06"/>
    <w:rsid w:val="7A910C4E"/>
    <w:rsid w:val="7AC25FB7"/>
    <w:rsid w:val="7AD514B8"/>
    <w:rsid w:val="7AF10E57"/>
    <w:rsid w:val="7B082BEB"/>
    <w:rsid w:val="7B0B20A4"/>
    <w:rsid w:val="7B6A4E54"/>
    <w:rsid w:val="7BDE5C8B"/>
    <w:rsid w:val="7BEB23B9"/>
    <w:rsid w:val="7BEC44D9"/>
    <w:rsid w:val="7C3A57B8"/>
    <w:rsid w:val="7C4475E8"/>
    <w:rsid w:val="7C9937FA"/>
    <w:rsid w:val="7CDC0FDC"/>
    <w:rsid w:val="7CDC3153"/>
    <w:rsid w:val="7D256C89"/>
    <w:rsid w:val="7D62446A"/>
    <w:rsid w:val="7D6B306B"/>
    <w:rsid w:val="7D6E1953"/>
    <w:rsid w:val="7DE327DF"/>
    <w:rsid w:val="7E0F392C"/>
    <w:rsid w:val="7E391CD8"/>
    <w:rsid w:val="7E460430"/>
    <w:rsid w:val="7E6912FC"/>
    <w:rsid w:val="7EA60FA5"/>
    <w:rsid w:val="7EC77E4B"/>
    <w:rsid w:val="7ED40803"/>
    <w:rsid w:val="7EFF6538"/>
    <w:rsid w:val="7F123B14"/>
    <w:rsid w:val="7F3E7036"/>
    <w:rsid w:val="7F48373C"/>
    <w:rsid w:val="7F613BEA"/>
    <w:rsid w:val="7FB032B5"/>
    <w:rsid w:val="7FD53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sz w:val="24"/>
      <w:lang w:val="en-GB" w:eastAsia="en-US" w:bidi="ar-SA"/>
    </w:rPr>
  </w:style>
  <w:style w:type="paragraph" w:styleId="2">
    <w:name w:val="heading 1"/>
    <w:basedOn w:val="1"/>
    <w:next w:val="1"/>
    <w:qFormat/>
    <w:uiPriority w:val="0"/>
    <w:pPr>
      <w:keepNext/>
      <w:keepLines/>
      <w:numPr>
        <w:ilvl w:val="0"/>
        <w:numId w:val="1"/>
      </w:numPr>
      <w:pBdr>
        <w:top w:val="single" w:color="auto" w:sz="12" w:space="3"/>
      </w:pBdr>
      <w:snapToGrid w:val="0"/>
      <w:spacing w:before="60"/>
      <w:ind w:left="431" w:hanging="431"/>
      <w:outlineLvl w:val="0"/>
    </w:pPr>
    <w:rPr>
      <w:rFonts w:ascii="Arial" w:hAnsi="Arial" w:eastAsia="宋体"/>
      <w:sz w:val="30"/>
    </w:rPr>
  </w:style>
  <w:style w:type="paragraph" w:styleId="3">
    <w:name w:val="heading 2"/>
    <w:basedOn w:val="2"/>
    <w:next w:val="1"/>
    <w:link w:val="120"/>
    <w:qFormat/>
    <w:uiPriority w:val="0"/>
    <w:pPr>
      <w:numPr>
        <w:ilvl w:val="1"/>
      </w:numPr>
      <w:pBdr>
        <w:top w:val="none" w:color="auto" w:sz="0" w:space="0"/>
      </w:pBdr>
      <w:spacing w:before="18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link w:val="130"/>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outlineLvl w:val="5"/>
    </w:pPr>
  </w:style>
  <w:style w:type="paragraph" w:styleId="9">
    <w:name w:val="heading 7"/>
    <w:basedOn w:val="8"/>
    <w:next w:val="1"/>
    <w:qFormat/>
    <w:uiPriority w:val="0"/>
    <w:pPr>
      <w:numPr>
        <w:ilvl w:val="6"/>
      </w:num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7">
    <w:name w:val="Default Paragraph Font"/>
    <w:unhideWhenUsed/>
    <w:qFormat/>
    <w:uiPriority w:val="1"/>
  </w:style>
  <w:style w:type="table" w:default="1" w:styleId="52">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annotation subject"/>
    <w:basedOn w:val="14"/>
    <w:next w:val="14"/>
    <w:link w:val="110"/>
    <w:qFormat/>
    <w:uiPriority w:val="0"/>
    <w:pPr>
      <w:jc w:val="left"/>
    </w:pPr>
    <w:rPr>
      <w:b/>
      <w:bCs/>
      <w:sz w:val="24"/>
    </w:rPr>
  </w:style>
  <w:style w:type="paragraph" w:styleId="14">
    <w:name w:val="annotation text"/>
    <w:basedOn w:val="1"/>
    <w:link w:val="121"/>
    <w:qFormat/>
    <w:uiPriority w:val="99"/>
    <w:rPr>
      <w:sz w:val="20"/>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pPr>
      <w:ind w:left="0" w:firstLine="0"/>
    </w:pPr>
  </w:style>
  <w:style w:type="paragraph" w:styleId="24">
    <w:name w:val="List"/>
    <w:basedOn w:val="1"/>
    <w:qFormat/>
    <w:uiPriority w:val="0"/>
    <w:pPr>
      <w:ind w:left="568" w:hanging="284"/>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24"/>
    <w:qFormat/>
    <w:uiPriority w:val="0"/>
    <w:pPr>
      <w:ind w:left="0" w:firstLine="0"/>
    </w:pPr>
  </w:style>
  <w:style w:type="paragraph" w:styleId="29">
    <w:name w:val="caption"/>
    <w:basedOn w:val="1"/>
    <w:next w:val="1"/>
    <w:link w:val="125"/>
    <w:qFormat/>
    <w:uiPriority w:val="0"/>
    <w:pPr>
      <w:spacing w:before="120" w:after="120"/>
    </w:pPr>
    <w:rPr>
      <w:b/>
      <w:sz w:val="20"/>
    </w:rPr>
  </w:style>
  <w:style w:type="paragraph" w:styleId="30">
    <w:name w:val="Document Map"/>
    <w:basedOn w:val="1"/>
    <w:semiHidden/>
    <w:qFormat/>
    <w:uiPriority w:val="0"/>
    <w:pPr>
      <w:shd w:val="clear" w:color="auto" w:fill="000080"/>
    </w:pPr>
    <w:rPr>
      <w:rFonts w:ascii="Tahoma" w:hAnsi="Tahoma"/>
    </w:rPr>
  </w:style>
  <w:style w:type="paragraph" w:styleId="31">
    <w:name w:val="Body Text"/>
    <w:basedOn w:val="1"/>
    <w:qFormat/>
    <w:uiPriority w:val="0"/>
  </w:style>
  <w:style w:type="paragraph" w:styleId="32">
    <w:name w:val="List 2"/>
    <w:basedOn w:val="1"/>
    <w:qFormat/>
    <w:uiPriority w:val="0"/>
    <w:pPr>
      <w:ind w:left="851"/>
    </w:pPr>
  </w:style>
  <w:style w:type="paragraph" w:styleId="33">
    <w:name w:val="Plain Text"/>
    <w:basedOn w:val="1"/>
    <w:qFormat/>
    <w:uiPriority w:val="0"/>
    <w:rPr>
      <w:rFonts w:ascii="Courier New" w:hAnsi="Courier New"/>
      <w:lang w:val="nb-NO"/>
    </w:rPr>
  </w:style>
  <w:style w:type="paragraph" w:styleId="34">
    <w:name w:val="List Bullet 5"/>
    <w:basedOn w:val="25"/>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link w:val="131"/>
    <w:qFormat/>
    <w:uiPriority w:val="0"/>
    <w:pPr>
      <w:spacing w:after="0"/>
    </w:pPr>
    <w:rPr>
      <w:rFonts w:ascii="Tahoma" w:hAnsi="Tahoma"/>
      <w:sz w:val="16"/>
      <w:szCs w:val="16"/>
    </w:rPr>
  </w:style>
  <w:style w:type="paragraph" w:styleId="37">
    <w:name w:val="footer"/>
    <w:basedOn w:val="38"/>
    <w:qFormat/>
    <w:uiPriority w:val="0"/>
    <w:pPr>
      <w:jc w:val="center"/>
    </w:pPr>
    <w:rPr>
      <w:i/>
    </w:rPr>
  </w:style>
  <w:style w:type="paragraph" w:styleId="38">
    <w:name w:val="header"/>
    <w:link w:val="128"/>
    <w:qFormat/>
    <w:uiPriority w:val="0"/>
    <w:pPr>
      <w:widowControl w:val="0"/>
    </w:pPr>
    <w:rPr>
      <w:rFonts w:ascii="Arial" w:hAnsi="Arial" w:eastAsia="Malgun Gothic" w:cs="Times New Roman"/>
      <w:b/>
      <w:sz w:val="18"/>
      <w:lang w:val="en-GB" w:eastAsia="en-US" w:bidi="ar-SA"/>
    </w:rPr>
  </w:style>
  <w:style w:type="paragraph" w:styleId="39">
    <w:name w:val="index heading"/>
    <w:basedOn w:val="1"/>
    <w:next w:val="1"/>
    <w:semiHidden/>
    <w:qFormat/>
    <w:uiPriority w:val="0"/>
    <w:pPr>
      <w:pBdr>
        <w:top w:val="single" w:color="auto" w:sz="12" w:space="0"/>
      </w:pBdr>
      <w:spacing w:before="360" w:after="240"/>
    </w:pPr>
    <w:rPr>
      <w:b/>
      <w:i/>
      <w:sz w:val="26"/>
    </w:rPr>
  </w:style>
  <w:style w:type="paragraph" w:styleId="40">
    <w:name w:val="footnote text"/>
    <w:basedOn w:val="1"/>
    <w:link w:val="122"/>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eastAsia="Times New Roman"/>
      <w:szCs w:val="24"/>
      <w:lang w:val="en-US" w:eastAsia="zh-CN"/>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table" w:styleId="53">
    <w:name w:val="Table Grid"/>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4">
    <w:name w:val="Table Grid 5"/>
    <w:basedOn w:val="5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55">
    <w:name w:val="Table Grid 8"/>
    <w:basedOn w:val="52"/>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paragraph" w:customStyle="1" w:styleId="56">
    <w:name w:val="NO"/>
    <w:basedOn w:val="1"/>
    <w:qFormat/>
    <w:uiPriority w:val="0"/>
    <w:pPr>
      <w:keepLines/>
      <w:ind w:left="1135" w:hanging="851"/>
    </w:pPr>
  </w:style>
  <w:style w:type="paragraph" w:customStyle="1" w:styleId="57">
    <w:name w:val="Couv Rec Title"/>
    <w:basedOn w:val="1"/>
    <w:qFormat/>
    <w:uiPriority w:val="0"/>
    <w:pPr>
      <w:keepNext/>
      <w:keepLines/>
      <w:spacing w:before="240"/>
      <w:ind w:left="1418"/>
    </w:pPr>
    <w:rPr>
      <w:rFonts w:ascii="Arial" w:hAnsi="Arial"/>
      <w:b/>
      <w:sz w:val="36"/>
      <w:lang w:val="en-US"/>
    </w:rPr>
  </w:style>
  <w:style w:type="paragraph" w:customStyle="1" w:styleId="58">
    <w:name w:val="INDENT3"/>
    <w:basedOn w:val="1"/>
    <w:qFormat/>
    <w:uiPriority w:val="0"/>
    <w:pPr>
      <w:ind w:left="1701" w:hanging="567"/>
    </w:pPr>
  </w:style>
  <w:style w:type="paragraph" w:customStyle="1" w:styleId="59">
    <w:name w:val="EX"/>
    <w:basedOn w:val="1"/>
    <w:qFormat/>
    <w:uiPriority w:val="0"/>
    <w:pPr>
      <w:keepLines/>
      <w:ind w:left="1702" w:hanging="1418"/>
    </w:pPr>
  </w:style>
  <w:style w:type="paragraph" w:customStyle="1" w:styleId="60">
    <w:name w:val="Comments"/>
    <w:basedOn w:val="1"/>
    <w:qFormat/>
    <w:uiPriority w:val="0"/>
    <w:pPr>
      <w:spacing w:before="40"/>
    </w:pPr>
    <w:rPr>
      <w:rFonts w:ascii="Arial" w:hAnsi="Arial" w:eastAsia="MS Mincho"/>
      <w:i/>
      <w:sz w:val="18"/>
      <w:lang w:eastAsia="en-GB"/>
    </w:rPr>
  </w:style>
  <w:style w:type="paragraph" w:customStyle="1" w:styleId="61">
    <w:name w:val="References"/>
    <w:basedOn w:val="1"/>
    <w:next w:val="1"/>
    <w:qFormat/>
    <w:uiPriority w:val="0"/>
    <w:pPr>
      <w:numPr>
        <w:ilvl w:val="0"/>
        <w:numId w:val="2"/>
      </w:numPr>
      <w:tabs>
        <w:tab w:val="left" w:pos="432"/>
        <w:tab w:val="clear" w:pos="360"/>
      </w:tabs>
      <w:autoSpaceDE w:val="0"/>
      <w:autoSpaceDN w:val="0"/>
      <w:snapToGrid w:val="0"/>
      <w:spacing w:after="60"/>
      <w:ind w:left="432" w:hanging="432"/>
    </w:pPr>
    <w:rPr>
      <w:rFonts w:eastAsia="宋体"/>
      <w:szCs w:val="16"/>
      <w:lang w:val="en-US"/>
    </w:rPr>
  </w:style>
  <w:style w:type="paragraph" w:customStyle="1" w:styleId="62">
    <w:name w:val="EW"/>
    <w:basedOn w:val="59"/>
    <w:qFormat/>
    <w:uiPriority w:val="0"/>
    <w:pPr>
      <w:spacing w:after="0"/>
    </w:pPr>
  </w:style>
  <w:style w:type="paragraph" w:customStyle="1" w:styleId="63">
    <w:name w:val="B3"/>
    <w:basedOn w:val="12"/>
    <w:qFormat/>
    <w:uiPriority w:val="0"/>
  </w:style>
  <w:style w:type="paragraph" w:customStyle="1" w:styleId="64">
    <w:name w:val="B4"/>
    <w:basedOn w:val="42"/>
    <w:qFormat/>
    <w:uiPriority w:val="0"/>
  </w:style>
  <w:style w:type="paragraph" w:customStyle="1" w:styleId="65">
    <w:name w:val="RAN1 bullet2"/>
    <w:basedOn w:val="1"/>
    <w:qFormat/>
    <w:uiPriority w:val="0"/>
    <w:pPr>
      <w:numPr>
        <w:ilvl w:val="1"/>
        <w:numId w:val="3"/>
      </w:numPr>
      <w:spacing w:after="0"/>
    </w:pPr>
    <w:rPr>
      <w:rFonts w:ascii="Times" w:hAnsi="Times" w:eastAsia="Batang"/>
      <w:lang w:val="en-US"/>
    </w:rPr>
  </w:style>
  <w:style w:type="paragraph" w:customStyle="1" w:styleId="66">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67">
    <w:name w:val="INDENT2"/>
    <w:basedOn w:val="1"/>
    <w:qFormat/>
    <w:uiPriority w:val="0"/>
    <w:pPr>
      <w:ind w:left="1135" w:hanging="284"/>
    </w:pPr>
  </w:style>
  <w:style w:type="paragraph" w:customStyle="1" w:styleId="68">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9">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0">
    <w:name w:val="RAN1 text"/>
    <w:basedOn w:val="31"/>
    <w:link w:val="118"/>
    <w:qFormat/>
    <w:uiPriority w:val="0"/>
    <w:pPr>
      <w:spacing w:after="0"/>
    </w:pPr>
    <w:rPr>
      <w:rFonts w:eastAsia="MS Mincho"/>
      <w:sz w:val="20"/>
      <w:szCs w:val="24"/>
    </w:rPr>
  </w:style>
  <w:style w:type="paragraph" w:customStyle="1" w:styleId="71">
    <w:name w:val="List Paragraph"/>
    <w:basedOn w:val="1"/>
    <w:link w:val="114"/>
    <w:qFormat/>
    <w:uiPriority w:val="34"/>
    <w:pPr>
      <w:ind w:left="720"/>
    </w:pPr>
    <w:rPr>
      <w:sz w:val="20"/>
    </w:rPr>
  </w:style>
  <w:style w:type="paragraph" w:customStyle="1" w:styleId="72">
    <w:name w:val="FP"/>
    <w:basedOn w:val="1"/>
    <w:qFormat/>
    <w:uiPriority w:val="0"/>
    <w:pPr>
      <w:spacing w:after="0"/>
    </w:pPr>
  </w:style>
  <w:style w:type="paragraph" w:customStyle="1" w:styleId="73">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4">
    <w:name w:val="RAN1 bullet1"/>
    <w:basedOn w:val="1"/>
    <w:link w:val="116"/>
    <w:qFormat/>
    <w:uiPriority w:val="0"/>
    <w:pPr>
      <w:numPr>
        <w:ilvl w:val="0"/>
        <w:numId w:val="4"/>
      </w:numPr>
      <w:spacing w:after="0"/>
    </w:pPr>
    <w:rPr>
      <w:rFonts w:ascii="Times" w:hAnsi="Times" w:eastAsia="Batang"/>
      <w:sz w:val="20"/>
      <w:szCs w:val="24"/>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6">
    <w:name w:val="_Style 3"/>
    <w:basedOn w:val="1"/>
    <w:qFormat/>
    <w:uiPriority w:val="34"/>
    <w:pPr>
      <w:ind w:left="720"/>
    </w:pPr>
    <w:rPr>
      <w:sz w:val="20"/>
    </w:rPr>
  </w:style>
  <w:style w:type="paragraph" w:customStyle="1" w:styleId="77">
    <w:name w:val="TAH"/>
    <w:basedOn w:val="78"/>
    <w:link w:val="111"/>
    <w:qFormat/>
    <w:uiPriority w:val="0"/>
    <w:rPr>
      <w:b/>
    </w:rPr>
  </w:style>
  <w:style w:type="paragraph" w:customStyle="1" w:styleId="78">
    <w:name w:val="TAC"/>
    <w:basedOn w:val="79"/>
    <w:link w:val="123"/>
    <w:qFormat/>
    <w:uiPriority w:val="0"/>
    <w:pPr>
      <w:jc w:val="center"/>
    </w:pPr>
  </w:style>
  <w:style w:type="paragraph" w:customStyle="1" w:styleId="79">
    <w:name w:val="TAL"/>
    <w:basedOn w:val="1"/>
    <w:link w:val="115"/>
    <w:qFormat/>
    <w:uiPriority w:val="0"/>
    <w:pPr>
      <w:keepNext/>
      <w:keepLines/>
      <w:spacing w:after="0"/>
    </w:pPr>
    <w:rPr>
      <w:rFonts w:ascii="Arial" w:hAnsi="Arial"/>
      <w:sz w:val="18"/>
    </w:rPr>
  </w:style>
  <w:style w:type="paragraph" w:customStyle="1" w:styleId="80">
    <w:name w:val="INDENT1"/>
    <w:basedOn w:val="1"/>
    <w:qFormat/>
    <w:uiPriority w:val="0"/>
    <w:pPr>
      <w:ind w:left="851"/>
    </w:pPr>
  </w:style>
  <w:style w:type="paragraph" w:customStyle="1" w:styleId="81">
    <w:name w:val="Figure_Title"/>
    <w:basedOn w:val="1"/>
    <w:next w:val="1"/>
    <w:qFormat/>
    <w:uiPriority w:val="0"/>
    <w:pPr>
      <w:keepLines/>
      <w:tabs>
        <w:tab w:val="left" w:pos="794"/>
        <w:tab w:val="left" w:pos="1191"/>
        <w:tab w:val="left" w:pos="1588"/>
        <w:tab w:val="left" w:pos="1985"/>
      </w:tabs>
      <w:spacing w:before="120" w:after="480"/>
      <w:jc w:val="center"/>
    </w:pPr>
    <w:rPr>
      <w:b/>
    </w:rPr>
  </w:style>
  <w:style w:type="paragraph" w:customStyle="1" w:styleId="82">
    <w:name w:val="ZTD"/>
    <w:basedOn w:val="83"/>
    <w:qFormat/>
    <w:uiPriority w:val="0"/>
    <w:pPr>
      <w:framePr w:hRule="auto" w:y="852"/>
    </w:pPr>
    <w:rPr>
      <w:i w:val="0"/>
      <w:sz w:val="40"/>
    </w:rPr>
  </w:style>
  <w:style w:type="paragraph" w:customStyle="1" w:styleId="83">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4">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6">
    <w:name w:val="NW"/>
    <w:basedOn w:val="56"/>
    <w:qFormat/>
    <w:uiPriority w:val="0"/>
    <w:pPr>
      <w:spacing w:after="0"/>
    </w:pPr>
  </w:style>
  <w:style w:type="paragraph" w:customStyle="1" w:styleId="87">
    <w:name w:val="bullet"/>
    <w:basedOn w:val="71"/>
    <w:qFormat/>
    <w:uiPriority w:val="0"/>
    <w:pPr>
      <w:widowControl w:val="0"/>
      <w:numPr>
        <w:ilvl w:val="0"/>
        <w:numId w:val="5"/>
      </w:numPr>
      <w:spacing w:after="0"/>
      <w:ind w:left="0"/>
      <w:contextualSpacing/>
    </w:pPr>
    <w:rPr>
      <w:rFonts w:ascii="Calibri" w:hAnsi="Calibri" w:eastAsia="Times New Roman"/>
      <w:kern w:val="2"/>
      <w:szCs w:val="24"/>
    </w:rPr>
  </w:style>
  <w:style w:type="paragraph" w:customStyle="1" w:styleId="88">
    <w:name w:val="Rec_CCITT_#"/>
    <w:basedOn w:val="1"/>
    <w:qFormat/>
    <w:uiPriority w:val="0"/>
    <w:pPr>
      <w:keepNext/>
      <w:keepLines/>
    </w:pPr>
    <w:rPr>
      <w:b/>
    </w:rPr>
  </w:style>
  <w:style w:type="paragraph" w:customStyle="1" w:styleId="89">
    <w:name w:val="B5"/>
    <w:basedOn w:val="41"/>
    <w:qFormat/>
    <w:uiPriority w:val="0"/>
  </w:style>
  <w:style w:type="paragraph" w:customStyle="1" w:styleId="90">
    <w:name w:val="_Style 1"/>
    <w:basedOn w:val="1"/>
    <w:qFormat/>
    <w:uiPriority w:val="34"/>
    <w:pPr>
      <w:spacing w:after="0"/>
      <w:ind w:left="720"/>
    </w:pPr>
    <w:rPr>
      <w:rFonts w:ascii="Calibri" w:hAnsi="Calibri" w:eastAsia="Calibri"/>
      <w:sz w:val="22"/>
    </w:rPr>
  </w:style>
  <w:style w:type="paragraph" w:customStyle="1" w:styleId="9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92">
    <w:name w:val="Editor's Note"/>
    <w:basedOn w:val="56"/>
    <w:qFormat/>
    <w:uiPriority w:val="0"/>
    <w:rPr>
      <w:color w:val="FF0000"/>
    </w:rPr>
  </w:style>
  <w:style w:type="paragraph" w:customStyle="1" w:styleId="93">
    <w:name w:val="EQ"/>
    <w:basedOn w:val="1"/>
    <w:next w:val="1"/>
    <w:qFormat/>
    <w:uiPriority w:val="0"/>
    <w:pPr>
      <w:keepLines/>
      <w:tabs>
        <w:tab w:val="center" w:pos="4536"/>
        <w:tab w:val="right" w:pos="9072"/>
      </w:tabs>
    </w:pPr>
  </w:style>
  <w:style w:type="paragraph" w:customStyle="1" w:styleId="94">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95">
    <w:name w:val="Guidance"/>
    <w:basedOn w:val="1"/>
    <w:qFormat/>
    <w:uiPriority w:val="99"/>
    <w:rPr>
      <w:i/>
      <w:color w:val="0000FF"/>
    </w:rPr>
  </w:style>
  <w:style w:type="paragraph" w:customStyle="1" w:styleId="96">
    <w:name w:val="TAJ"/>
    <w:basedOn w:val="97"/>
    <w:qFormat/>
    <w:uiPriority w:val="0"/>
  </w:style>
  <w:style w:type="paragraph" w:customStyle="1" w:styleId="97">
    <w:name w:val="TH"/>
    <w:basedOn w:val="1"/>
    <w:link w:val="112"/>
    <w:qFormat/>
    <w:uiPriority w:val="0"/>
    <w:pPr>
      <w:keepNext/>
      <w:keepLines/>
      <w:spacing w:before="60"/>
      <w:jc w:val="center"/>
    </w:pPr>
    <w:rPr>
      <w:rFonts w:ascii="Arial" w:hAnsi="Arial"/>
      <w:b/>
      <w:sz w:val="20"/>
    </w:rPr>
  </w:style>
  <w:style w:type="paragraph" w:customStyle="1" w:styleId="98">
    <w:name w:val="TT"/>
    <w:basedOn w:val="2"/>
    <w:next w:val="1"/>
    <w:qFormat/>
    <w:uiPriority w:val="0"/>
    <w:pPr>
      <w:outlineLvl w:val="9"/>
    </w:pPr>
  </w:style>
  <w:style w:type="paragraph" w:customStyle="1" w:styleId="99">
    <w:name w:val="列出段落1"/>
    <w:basedOn w:val="1"/>
    <w:qFormat/>
    <w:uiPriority w:val="72"/>
    <w:pPr>
      <w:spacing w:after="0"/>
      <w:ind w:firstLine="420" w:firstLineChars="200"/>
    </w:pPr>
    <w:rPr>
      <w:rFonts w:ascii="宋体" w:hAnsi="宋体" w:eastAsia="宋体"/>
      <w:szCs w:val="24"/>
    </w:rPr>
  </w:style>
  <w:style w:type="paragraph" w:customStyle="1" w:styleId="100">
    <w:name w:val="NF"/>
    <w:basedOn w:val="56"/>
    <w:qFormat/>
    <w:uiPriority w:val="0"/>
    <w:pPr>
      <w:keepNext/>
      <w:spacing w:after="0"/>
    </w:pPr>
    <w:rPr>
      <w:rFonts w:ascii="Arial" w:hAnsi="Arial"/>
      <w:sz w:val="18"/>
    </w:rPr>
  </w:style>
  <w:style w:type="paragraph" w:customStyle="1" w:styleId="101">
    <w:name w:val="_Style 4"/>
    <w:basedOn w:val="1"/>
    <w:next w:val="1"/>
    <w:qFormat/>
    <w:uiPriority w:val="29"/>
    <w:pPr>
      <w:spacing w:before="200" w:after="160"/>
      <w:ind w:left="864" w:right="864"/>
      <w:jc w:val="center"/>
    </w:pPr>
    <w:rPr>
      <w:rFonts w:eastAsia="Times New Roman"/>
      <w:i/>
      <w:iCs/>
      <w:color w:val="404040"/>
    </w:rPr>
  </w:style>
  <w:style w:type="paragraph" w:customStyle="1" w:styleId="102">
    <w:name w:val="B1"/>
    <w:basedOn w:val="24"/>
    <w:link w:val="126"/>
    <w:qFormat/>
    <w:uiPriority w:val="0"/>
    <w:rPr>
      <w:sz w:val="20"/>
    </w:rPr>
  </w:style>
  <w:style w:type="paragraph" w:customStyle="1" w:styleId="103">
    <w:name w:val="ZV"/>
    <w:basedOn w:val="85"/>
    <w:qFormat/>
    <w:uiPriority w:val="0"/>
    <w:pPr>
      <w:framePr w:y="16161"/>
    </w:pPr>
  </w:style>
  <w:style w:type="paragraph" w:customStyle="1" w:styleId="104">
    <w:name w:val="TAR"/>
    <w:basedOn w:val="79"/>
    <w:qFormat/>
    <w:uiPriority w:val="0"/>
    <w:pPr>
      <w:jc w:val="right"/>
    </w:pPr>
  </w:style>
  <w:style w:type="paragraph" w:customStyle="1" w:styleId="105">
    <w:name w:val="Doc-text2"/>
    <w:basedOn w:val="1"/>
    <w:link w:val="119"/>
    <w:qFormat/>
    <w:uiPriority w:val="0"/>
    <w:pPr>
      <w:tabs>
        <w:tab w:val="left" w:pos="1622"/>
      </w:tabs>
      <w:spacing w:after="0"/>
      <w:ind w:left="1622" w:hanging="363"/>
    </w:pPr>
    <w:rPr>
      <w:rFonts w:ascii="Arial" w:hAnsi="Arial" w:eastAsia="MS Mincho"/>
      <w:sz w:val="20"/>
      <w:szCs w:val="24"/>
      <w:lang w:eastAsia="en-GB"/>
    </w:rPr>
  </w:style>
  <w:style w:type="paragraph" w:customStyle="1" w:styleId="106">
    <w:name w:val="TF"/>
    <w:basedOn w:val="97"/>
    <w:qFormat/>
    <w:uiPriority w:val="0"/>
    <w:pPr>
      <w:keepNext w:val="0"/>
      <w:spacing w:before="0" w:after="240"/>
    </w:pPr>
  </w:style>
  <w:style w:type="paragraph" w:customStyle="1" w:styleId="107">
    <w:name w:val="text intend 1"/>
    <w:basedOn w:val="1"/>
    <w:qFormat/>
    <w:uiPriority w:val="0"/>
    <w:pPr>
      <w:numPr>
        <w:ilvl w:val="0"/>
        <w:numId w:val="6"/>
      </w:numPr>
      <w:overflowPunct w:val="0"/>
      <w:autoSpaceDE w:val="0"/>
      <w:autoSpaceDN w:val="0"/>
      <w:adjustRightInd w:val="0"/>
      <w:spacing w:after="120"/>
      <w:textAlignment w:val="baseline"/>
    </w:pPr>
    <w:rPr>
      <w:rFonts w:eastAsia="MS Mincho"/>
      <w:lang w:val="en-US" w:eastAsia="en-GB"/>
    </w:rPr>
  </w:style>
  <w:style w:type="paragraph" w:customStyle="1" w:styleId="108">
    <w:name w:val="B2"/>
    <w:basedOn w:val="32"/>
    <w:link w:val="124"/>
    <w:qFormat/>
    <w:uiPriority w:val="0"/>
    <w:rPr>
      <w:sz w:val="20"/>
    </w:rPr>
  </w:style>
  <w:style w:type="paragraph" w:customStyle="1" w:styleId="109">
    <w:name w:val="TAN"/>
    <w:basedOn w:val="79"/>
    <w:qFormat/>
    <w:uiPriority w:val="0"/>
    <w:pPr>
      <w:ind w:left="851" w:hanging="851"/>
    </w:pPr>
  </w:style>
  <w:style w:type="character" w:customStyle="1" w:styleId="110">
    <w:name w:val="批注主题 Char"/>
    <w:link w:val="13"/>
    <w:qFormat/>
    <w:uiPriority w:val="0"/>
    <w:rPr>
      <w:b/>
      <w:bCs/>
      <w:sz w:val="24"/>
      <w:lang w:val="en-GB" w:eastAsia="en-US"/>
    </w:rPr>
  </w:style>
  <w:style w:type="character" w:customStyle="1" w:styleId="111">
    <w:name w:val="TAH Car"/>
    <w:link w:val="77"/>
    <w:qFormat/>
    <w:uiPriority w:val="0"/>
    <w:rPr>
      <w:rFonts w:ascii="Arial" w:hAnsi="Arial"/>
      <w:b/>
      <w:sz w:val="18"/>
      <w:lang w:val="en-GB" w:eastAsia="en-US"/>
    </w:rPr>
  </w:style>
  <w:style w:type="character" w:customStyle="1" w:styleId="112">
    <w:name w:val="TH Char"/>
    <w:link w:val="97"/>
    <w:qFormat/>
    <w:uiPriority w:val="0"/>
    <w:rPr>
      <w:rFonts w:ascii="Arial" w:hAnsi="Arial"/>
      <w:b/>
      <w:lang w:val="en-GB" w:eastAsia="en-US"/>
    </w:rPr>
  </w:style>
  <w:style w:type="character" w:customStyle="1" w:styleId="113">
    <w:name w:val="B1 Zchn"/>
    <w:qFormat/>
    <w:uiPriority w:val="0"/>
    <w:rPr>
      <w:lang w:eastAsia="en-US"/>
    </w:rPr>
  </w:style>
  <w:style w:type="character" w:customStyle="1" w:styleId="114">
    <w:name w:val="列出段落 Char"/>
    <w:link w:val="71"/>
    <w:qFormat/>
    <w:locked/>
    <w:uiPriority w:val="34"/>
    <w:rPr>
      <w:lang w:val="en-GB" w:eastAsia="en-US"/>
    </w:rPr>
  </w:style>
  <w:style w:type="character" w:customStyle="1" w:styleId="115">
    <w:name w:val="TAL Char"/>
    <w:link w:val="79"/>
    <w:qFormat/>
    <w:uiPriority w:val="0"/>
    <w:rPr>
      <w:rFonts w:ascii="Arial" w:hAnsi="Arial"/>
      <w:sz w:val="18"/>
      <w:lang w:val="en-GB" w:eastAsia="en-US"/>
    </w:rPr>
  </w:style>
  <w:style w:type="character" w:customStyle="1" w:styleId="116">
    <w:name w:val="RAN1 bullet1 Char"/>
    <w:link w:val="74"/>
    <w:qFormat/>
    <w:uiPriority w:val="0"/>
    <w:rPr>
      <w:rFonts w:ascii="Times" w:hAnsi="Times" w:eastAsia="Batang"/>
      <w:szCs w:val="24"/>
      <w:lang w:val="en-GB"/>
    </w:rPr>
  </w:style>
  <w:style w:type="character" w:customStyle="1" w:styleId="117">
    <w:name w:val="MTEquationSection"/>
    <w:qFormat/>
    <w:uiPriority w:val="0"/>
    <w:rPr>
      <w:rFonts w:cs="Arial"/>
      <w:bCs/>
      <w:vanish/>
      <w:color w:val="FF0000"/>
      <w:sz w:val="28"/>
      <w:szCs w:val="28"/>
      <w:lang w:eastAsia="zh-CN"/>
    </w:rPr>
  </w:style>
  <w:style w:type="character" w:customStyle="1" w:styleId="118">
    <w:name w:val="RAN1 text Char"/>
    <w:link w:val="70"/>
    <w:qFormat/>
    <w:uiPriority w:val="0"/>
    <w:rPr>
      <w:rFonts w:eastAsia="MS Mincho"/>
      <w:szCs w:val="24"/>
    </w:rPr>
  </w:style>
  <w:style w:type="character" w:customStyle="1" w:styleId="119">
    <w:name w:val="Doc-text2 Char"/>
    <w:link w:val="105"/>
    <w:qFormat/>
    <w:uiPriority w:val="0"/>
    <w:rPr>
      <w:rFonts w:ascii="Arial" w:hAnsi="Arial" w:eastAsia="MS Mincho"/>
      <w:szCs w:val="24"/>
      <w:lang w:val="en-GB" w:eastAsia="en-GB"/>
    </w:rPr>
  </w:style>
  <w:style w:type="character" w:customStyle="1" w:styleId="120">
    <w:name w:val="标题 2 Char"/>
    <w:link w:val="3"/>
    <w:qFormat/>
    <w:uiPriority w:val="0"/>
    <w:rPr>
      <w:rFonts w:ascii="Arial" w:hAnsi="Arial" w:eastAsia="宋体"/>
      <w:sz w:val="28"/>
      <w:lang w:val="en-GB" w:eastAsia="en-US"/>
    </w:rPr>
  </w:style>
  <w:style w:type="character" w:customStyle="1" w:styleId="121">
    <w:name w:val="批注文字 Char"/>
    <w:link w:val="14"/>
    <w:qFormat/>
    <w:uiPriority w:val="99"/>
    <w:rPr>
      <w:lang w:val="en-GB" w:eastAsia="en-US"/>
    </w:rPr>
  </w:style>
  <w:style w:type="character" w:customStyle="1" w:styleId="122">
    <w:name w:val="脚注文本 Char"/>
    <w:link w:val="40"/>
    <w:semiHidden/>
    <w:qFormat/>
    <w:uiPriority w:val="0"/>
    <w:rPr>
      <w:sz w:val="16"/>
      <w:lang w:val="en-GB" w:eastAsia="en-US"/>
    </w:rPr>
  </w:style>
  <w:style w:type="character" w:customStyle="1" w:styleId="123">
    <w:name w:val="TAC Char"/>
    <w:link w:val="78"/>
    <w:qFormat/>
    <w:locked/>
    <w:uiPriority w:val="0"/>
    <w:rPr>
      <w:rFonts w:ascii="Arial" w:hAnsi="Arial"/>
      <w:sz w:val="18"/>
      <w:lang w:val="en-GB" w:eastAsia="en-US"/>
    </w:rPr>
  </w:style>
  <w:style w:type="character" w:customStyle="1" w:styleId="124">
    <w:name w:val="B2 Char"/>
    <w:link w:val="108"/>
    <w:qFormat/>
    <w:locked/>
    <w:uiPriority w:val="0"/>
    <w:rPr>
      <w:lang w:val="en-GB" w:eastAsia="en-US"/>
    </w:rPr>
  </w:style>
  <w:style w:type="character" w:customStyle="1" w:styleId="125">
    <w:name w:val="题注 Char"/>
    <w:link w:val="29"/>
    <w:qFormat/>
    <w:uiPriority w:val="0"/>
    <w:rPr>
      <w:b/>
      <w:lang w:val="en-GB" w:eastAsia="en-US"/>
    </w:rPr>
  </w:style>
  <w:style w:type="character" w:customStyle="1" w:styleId="126">
    <w:name w:val="B1 (文字)"/>
    <w:link w:val="102"/>
    <w:qFormat/>
    <w:locked/>
    <w:uiPriority w:val="0"/>
    <w:rPr>
      <w:lang w:val="en-GB" w:eastAsia="en-US"/>
    </w:rPr>
  </w:style>
  <w:style w:type="character" w:customStyle="1" w:styleId="127">
    <w:name w:val="B1 Char1"/>
    <w:qFormat/>
    <w:uiPriority w:val="0"/>
    <w:rPr>
      <w:rFonts w:ascii="Times New Roman" w:hAnsi="Times New Roman"/>
      <w:lang w:val="en-GB" w:eastAsia="en-US"/>
    </w:rPr>
  </w:style>
  <w:style w:type="character" w:customStyle="1" w:styleId="128">
    <w:name w:val="页眉 Char"/>
    <w:link w:val="38"/>
    <w:qFormat/>
    <w:uiPriority w:val="0"/>
    <w:rPr>
      <w:rFonts w:ascii="Arial" w:hAnsi="Arial"/>
      <w:b/>
      <w:sz w:val="18"/>
      <w:lang w:val="en-GB" w:eastAsia="en-US" w:bidi="ar-SA"/>
    </w:rPr>
  </w:style>
  <w:style w:type="character" w:customStyle="1" w:styleId="129">
    <w:name w:val="ZGSM"/>
    <w:qFormat/>
    <w:uiPriority w:val="0"/>
  </w:style>
  <w:style w:type="character" w:customStyle="1" w:styleId="130">
    <w:name w:val="标题 4 Char"/>
    <w:link w:val="5"/>
    <w:qFormat/>
    <w:uiPriority w:val="0"/>
    <w:rPr>
      <w:rFonts w:ascii="Arial" w:hAnsi="Arial"/>
      <w:sz w:val="24"/>
      <w:lang w:val="en-GB" w:eastAsia="en-US"/>
    </w:rPr>
  </w:style>
  <w:style w:type="character" w:customStyle="1" w:styleId="131">
    <w:name w:val="批注框文本 Char"/>
    <w:link w:val="36"/>
    <w:qFormat/>
    <w:uiPriority w:val="0"/>
    <w:rPr>
      <w:rFonts w:ascii="Tahoma" w:hAnsi="Tahoma" w:cs="Tahoma"/>
      <w:sz w:val="16"/>
      <w:szCs w:val="16"/>
      <w:lang w:val="en-GB" w:eastAsia="en-US"/>
    </w:rPr>
  </w:style>
  <w:style w:type="table" w:customStyle="1" w:styleId="132">
    <w:name w:val="_Style 131"/>
    <w:basedOn w:val="52"/>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ayout w:type="fixed"/>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33">
    <w:name w:val="_Style 132"/>
    <w:basedOn w:val="52"/>
    <w:qFormat/>
    <w:uiPriority w:val="48"/>
    <w:tblPr>
      <w:tblBorders>
        <w:top w:val="single" w:color="4472C4" w:sz="4" w:space="0"/>
        <w:left w:val="single" w:color="4472C4" w:sz="4" w:space="0"/>
        <w:bottom w:val="single" w:color="4472C4" w:sz="4" w:space="0"/>
        <w:right w:val="single" w:color="4472C4" w:sz="4" w:space="0"/>
      </w:tblBorders>
      <w:tblLayout w:type="fixed"/>
      <w:tblCellMar>
        <w:top w:w="0" w:type="dxa"/>
        <w:left w:w="108" w:type="dxa"/>
        <w:bottom w:w="0" w:type="dxa"/>
        <w:right w:w="108" w:type="dxa"/>
      </w:tblCellMar>
    </w:tblPr>
    <w:tblStylePr w:type="firstRow">
      <w:rPr>
        <w:b/>
        <w:bCs/>
        <w:color w:val="FFFFFF"/>
      </w:rPr>
      <w:tcPr>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shd w:val="clear" w:color="auto" w:fill="FFFFFF"/>
      </w:tcPr>
    </w:tblStylePr>
    <w:tblStylePr w:type="firstCol">
      <w:rPr>
        <w:b/>
        <w:bCs/>
      </w:rPr>
      <w:tcPr>
        <w:tcBorders>
          <w:top w:val="nil"/>
          <w:left w:val="nil"/>
          <w:bottom w:val="nil"/>
          <w:right w:val="nil"/>
          <w:insideH w:val="nil"/>
          <w:insideV w:val="nil"/>
          <w:tl2br w:val="nil"/>
          <w:tr2bl w:val="nil"/>
        </w:tcBorders>
        <w:shd w:val="clear" w:color="auto" w:fill="FFFFFF"/>
      </w:tcPr>
    </w:tblStylePr>
    <w:tblStylePr w:type="lastCol">
      <w:rPr>
        <w:b/>
        <w:bCs/>
      </w:rPr>
      <w:tcPr>
        <w:tcBorders>
          <w:top w:val="nil"/>
          <w:left w:val="nil"/>
          <w:bottom w:val="nil"/>
          <w:right w:val="nil"/>
          <w:insideH w:val="nil"/>
          <w:insideV w:val="nil"/>
          <w:tl2br w:val="nil"/>
          <w:tr2bl w:val="nil"/>
        </w:tcBorders>
        <w:shd w:val="clear" w:color="auto" w:fill="FFFFFF"/>
      </w:tcPr>
    </w:tblStylePr>
    <w:tblStylePr w:type="band1Vert">
      <w:tcPr>
        <w:tcBorders>
          <w:top w:val="nil"/>
          <w:left w:val="nil"/>
          <w:bottom w:val="single" w:color="4472C4" w:sz="4" w:space="0"/>
          <w:right w:val="single" w:color="4472C4" w:sz="4" w:space="0"/>
          <w:insideH w:val="nil"/>
          <w:insideV w:val="nil"/>
          <w:tl2br w:val="nil"/>
          <w:tr2bl w:val="nil"/>
        </w:tcBorders>
      </w:tcPr>
    </w:tblStylePr>
    <w:tblStylePr w:type="band1Horz">
      <w:tcPr>
        <w:tcBorders>
          <w:top w:val="single" w:color="4472C4" w:sz="4" w:space="0"/>
          <w:left w:val="single" w:color="4472C4" w:sz="4" w:space="0"/>
          <w:bottom w:val="nil"/>
          <w:right w:val="nil"/>
          <w:insideH w:val="nil"/>
          <w:insideV w:val="nil"/>
          <w:tl2br w:val="nil"/>
          <w:tr2bl w:val="nil"/>
        </w:tcBorders>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double" w:color="4472C4" w:sz="4" w:space="0"/>
          <w:left w:val="nil"/>
          <w:bottom w:val="nil"/>
          <w:right w:val="nil"/>
          <w:insideH w:val="nil"/>
          <w:insideV w:val="nil"/>
          <w:tl2br w:val="nil"/>
          <w:tr2bl w:val="nil"/>
        </w:tcBorders>
      </w:tcPr>
    </w:tblStylePr>
    <w:tblStylePr w:type="swCell">
      <w:tcPr>
        <w:tcBorders>
          <w:top w:val="double" w:color="4472C4" w:sz="4" w:space="0"/>
          <w:left w:val="nil"/>
          <w:bottom w:val="nil"/>
          <w:right w:val="nil"/>
          <w:insideH w:val="nil"/>
          <w:insideV w:val="nil"/>
          <w:tl2br w:val="nil"/>
          <w:tr2bl w:val="nil"/>
        </w:tcBorders>
      </w:tcPr>
    </w:tblStylePr>
  </w:style>
  <w:style w:type="table" w:customStyle="1" w:styleId="134">
    <w:name w:val="_Style 133"/>
    <w:basedOn w:val="52"/>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Layout w:type="fixed"/>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paragraph" w:customStyle="1" w:styleId="135">
    <w:name w:val="LGTdoc_본문"/>
    <w:basedOn w:val="1"/>
    <w:qFormat/>
    <w:uiPriority w:val="0"/>
    <w:pPr>
      <w:widowControl w:val="0"/>
      <w:autoSpaceDE w:val="0"/>
      <w:autoSpaceDN w:val="0"/>
      <w:adjustRightInd w:val="0"/>
      <w:snapToGrid w:val="0"/>
      <w:spacing w:afterLines="50" w:line="264" w:lineRule="auto"/>
    </w:pPr>
    <w:rPr>
      <w:kern w:val="2"/>
      <w:sz w:val="22"/>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emf"/><Relationship Id="rId13" Type="http://schemas.openxmlformats.org/officeDocument/2006/relationships/oleObject" Target="embeddings/oleObject5.bin"/><Relationship Id="rId12" Type="http://schemas.openxmlformats.org/officeDocument/2006/relationships/image" Target="media/image5.emf"/><Relationship Id="rId11" Type="http://schemas.openxmlformats.org/officeDocument/2006/relationships/oleObject" Target="embeddings/oleObject4.bin"/><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2690</Words>
  <Characters>35302</Characters>
  <Lines>294</Lines>
  <Paragraphs>75</Paragraphs>
  <TotalTime>2</TotalTime>
  <ScaleCrop>false</ScaleCrop>
  <LinksUpToDate>false</LinksUpToDate>
  <CharactersWithSpaces>37917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2019-08-15T18:31:00Z</dcterms:created>
  <dc:creator>MCC Support</dc:creator>
  <cp:keywords>&lt;keyword[, keyword]&gt;</cp:keywords>
  <cp:lastModifiedBy>ZTE</cp:lastModifiedBy>
  <cp:lastPrinted>2018-01-16T10:39:00Z</cp:lastPrinted>
  <dcterms:modified xsi:type="dcterms:W3CDTF">2019-11-09T03:55:21Z</dcterms:modified>
  <dc:subject>&lt;Title 1; Title 2&gt; (Release 15 |14 | 13 |12)</dc:subject>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ies>
</file>